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E46ABA8" w14:textId="77777777" w:rsidR="0057624D" w:rsidRPr="001379BB" w:rsidRDefault="00601B27" w:rsidP="00601B27">
      <w:pPr>
        <w:rPr>
          <w:color w:val="FF0000"/>
          <w:sz w:val="70"/>
          <w:szCs w:val="70"/>
        </w:rPr>
      </w:pPr>
      <w:proofErr w:type="spellStart"/>
      <w:r w:rsidRPr="001379BB">
        <w:rPr>
          <w:b/>
          <w:i/>
          <w:iCs/>
          <w:color w:val="FF0000"/>
          <w:sz w:val="70"/>
          <w:szCs w:val="70"/>
        </w:rPr>
        <w:t>Семейная</w:t>
      </w:r>
      <w:proofErr w:type="spellEnd"/>
      <w:r w:rsidRPr="001379BB">
        <w:rPr>
          <w:b/>
          <w:i/>
          <w:iCs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i/>
          <w:iCs/>
          <w:color w:val="FF0000"/>
          <w:sz w:val="70"/>
          <w:szCs w:val="70"/>
        </w:rPr>
        <w:t>гиперхолестеринемия</w:t>
      </w:r>
      <w:proofErr w:type="spellEnd"/>
      <w:r w:rsidRPr="001379BB">
        <w:rPr>
          <w:b/>
          <w:i/>
          <w:iCs/>
          <w:color w:val="FF0000"/>
          <w:sz w:val="70"/>
          <w:szCs w:val="70"/>
        </w:rPr>
        <w:t>:</w:t>
      </w:r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снижение</w:t>
      </w:r>
      <w:proofErr w:type="spellEnd"/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нагрузки</w:t>
      </w:r>
      <w:proofErr w:type="spellEnd"/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на</w:t>
      </w:r>
      <w:proofErr w:type="spellEnd"/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медицинские</w:t>
      </w:r>
      <w:proofErr w:type="spellEnd"/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учреждения</w:t>
      </w:r>
      <w:proofErr w:type="spellEnd"/>
      <w:r w:rsidRPr="001379BB">
        <w:rPr>
          <w:b/>
          <w:color w:val="FF0000"/>
          <w:sz w:val="70"/>
          <w:szCs w:val="70"/>
        </w:rPr>
        <w:t xml:space="preserve"> и </w:t>
      </w:r>
      <w:proofErr w:type="spellStart"/>
      <w:r w:rsidRPr="001379BB">
        <w:rPr>
          <w:b/>
          <w:color w:val="FF0000"/>
          <w:sz w:val="70"/>
          <w:szCs w:val="70"/>
        </w:rPr>
        <w:t>общественное</w:t>
      </w:r>
      <w:proofErr w:type="spellEnd"/>
      <w:r w:rsidRPr="001379BB">
        <w:rPr>
          <w:b/>
          <w:color w:val="FF0000"/>
          <w:sz w:val="70"/>
          <w:szCs w:val="70"/>
        </w:rPr>
        <w:t xml:space="preserve"> </w:t>
      </w:r>
      <w:proofErr w:type="spellStart"/>
      <w:r w:rsidRPr="001379BB">
        <w:rPr>
          <w:b/>
          <w:color w:val="FF0000"/>
          <w:sz w:val="70"/>
          <w:szCs w:val="70"/>
        </w:rPr>
        <w:t>здравоохранение</w:t>
      </w:r>
      <w:proofErr w:type="spellEnd"/>
    </w:p>
    <w:p w14:paraId="28342B91" w14:textId="77777777" w:rsidR="0057624D" w:rsidRPr="001379BB" w:rsidRDefault="001379BB" w:rsidP="00601B27">
      <w:pPr>
        <w:spacing w:before="400"/>
        <w:rPr>
          <w:color w:val="FFFFFF" w:themeColor="background1"/>
          <w:sz w:val="75"/>
          <w:szCs w:val="75"/>
        </w:rPr>
      </w:pPr>
      <w:r w:rsidRPr="001379BB">
        <w:rPr>
          <w:color w:val="FFFFFF" w:themeColor="background1"/>
        </w:rPr>
        <w:pict w14:anchorId="5E6E7633">
          <v:group id="_x0000_s1084" style="position:absolute;margin-left:0;margin-top:322.3pt;width:612pt;height:53.05pt;z-index:-251675648;mso-position-horizontal-relative:page;mso-position-vertical-relative:page" coordorigin=",5649" coordsize="12240,1061">
            <v:shape id="_x0000_s1085" style="position:absolute;top:5649;width:12240;height:1061" coordorigin=",5649" coordsize="12240,1061" path="m12240,6710l12240,5649,,5649,,6710,12240,6710xe" fillcolor="#7f7f7f [1612]" stroked="f">
              <v:path arrowok="t"/>
            </v:shape>
            <w10:wrap anchorx="page" anchory="page"/>
          </v:group>
        </w:pict>
      </w:r>
      <w:proofErr w:type="spellStart"/>
      <w:r w:rsidR="00601B27" w:rsidRPr="001379BB">
        <w:rPr>
          <w:color w:val="FFFFFF" w:themeColor="background1"/>
          <w:sz w:val="75"/>
          <w:szCs w:val="75"/>
        </w:rPr>
        <w:t>Глобальный</w:t>
      </w:r>
      <w:proofErr w:type="spellEnd"/>
      <w:r w:rsidR="00601B27" w:rsidRPr="001379BB">
        <w:rPr>
          <w:color w:val="FFFFFF" w:themeColor="background1"/>
          <w:sz w:val="75"/>
          <w:szCs w:val="75"/>
        </w:rPr>
        <w:t xml:space="preserve"> </w:t>
      </w:r>
      <w:proofErr w:type="spellStart"/>
      <w:r w:rsidR="00601B27" w:rsidRPr="001379BB">
        <w:rPr>
          <w:color w:val="FFFFFF" w:themeColor="background1"/>
          <w:sz w:val="75"/>
          <w:szCs w:val="75"/>
        </w:rPr>
        <w:t>призыв</w:t>
      </w:r>
      <w:proofErr w:type="spellEnd"/>
      <w:r w:rsidR="00601B27" w:rsidRPr="001379BB">
        <w:rPr>
          <w:color w:val="FFFFFF" w:themeColor="background1"/>
          <w:sz w:val="75"/>
          <w:szCs w:val="75"/>
        </w:rPr>
        <w:t xml:space="preserve"> к </w:t>
      </w:r>
      <w:proofErr w:type="spellStart"/>
      <w:r w:rsidR="00601B27" w:rsidRPr="001379BB">
        <w:rPr>
          <w:color w:val="FFFFFF" w:themeColor="background1"/>
          <w:sz w:val="75"/>
          <w:szCs w:val="75"/>
        </w:rPr>
        <w:t>действию</w:t>
      </w:r>
      <w:proofErr w:type="spellEnd"/>
    </w:p>
    <w:p w14:paraId="747823ED" w14:textId="77777777" w:rsidR="0057624D" w:rsidRPr="00B22B99" w:rsidRDefault="0057624D" w:rsidP="00B22B99"/>
    <w:p w14:paraId="40073B86" w14:textId="77777777" w:rsidR="0057624D" w:rsidRPr="00B22B99" w:rsidRDefault="0057624D" w:rsidP="00B22B99"/>
    <w:p w14:paraId="70836A67" w14:textId="77777777" w:rsidR="0057624D" w:rsidRPr="00B22B99" w:rsidRDefault="0057624D" w:rsidP="00B22B99"/>
    <w:p w14:paraId="7C95F2BE" w14:textId="77777777" w:rsidR="0057624D" w:rsidRPr="00B22B99" w:rsidRDefault="0057624D" w:rsidP="00B22B99"/>
    <w:p w14:paraId="1F8E50A5" w14:textId="77777777" w:rsidR="0057624D" w:rsidRPr="00B22B99" w:rsidRDefault="0057624D" w:rsidP="00B22B99"/>
    <w:p w14:paraId="31B899E4" w14:textId="77777777" w:rsidR="0057624D" w:rsidRPr="00B22B99" w:rsidRDefault="0057624D" w:rsidP="00B22B99"/>
    <w:p w14:paraId="11F49267" w14:textId="77777777" w:rsidR="0057624D" w:rsidRPr="00B22B99" w:rsidRDefault="0057624D" w:rsidP="00B22B99"/>
    <w:p w14:paraId="6EA13356" w14:textId="77777777" w:rsidR="0057624D" w:rsidRPr="00B22B99" w:rsidRDefault="0057624D" w:rsidP="00B22B99"/>
    <w:p w14:paraId="393B53BE" w14:textId="77777777" w:rsidR="0057624D" w:rsidRPr="00B22B99" w:rsidRDefault="0057624D" w:rsidP="00B22B99"/>
    <w:p w14:paraId="34087046" w14:textId="77777777" w:rsidR="0057624D" w:rsidRPr="00B22B99" w:rsidRDefault="0057624D" w:rsidP="00B22B99"/>
    <w:p w14:paraId="42C7F583" w14:textId="77777777" w:rsidR="0057624D" w:rsidRPr="00B22B99" w:rsidRDefault="0057624D" w:rsidP="00B22B99"/>
    <w:p w14:paraId="0C227264" w14:textId="77777777" w:rsidR="0057624D" w:rsidRPr="00B22B99" w:rsidRDefault="0057624D" w:rsidP="00B22B99"/>
    <w:p w14:paraId="208B2AF7" w14:textId="77777777" w:rsidR="0057624D" w:rsidRPr="00B22B99" w:rsidRDefault="0057624D" w:rsidP="00B22B99"/>
    <w:p w14:paraId="15FC07E5" w14:textId="77777777" w:rsidR="0057624D" w:rsidRPr="00B22B99" w:rsidRDefault="0057624D" w:rsidP="00B22B99"/>
    <w:p w14:paraId="00C79E95" w14:textId="77777777" w:rsidR="0057624D" w:rsidRPr="00B22B99" w:rsidRDefault="0057624D" w:rsidP="00B22B99"/>
    <w:p w14:paraId="051B6B10" w14:textId="77777777" w:rsidR="0057624D" w:rsidRPr="00B22B99" w:rsidRDefault="0057624D" w:rsidP="00B22B99"/>
    <w:p w14:paraId="07E6E962" w14:textId="77777777" w:rsidR="0057624D" w:rsidRPr="00B22B99" w:rsidRDefault="0057624D" w:rsidP="00B22B99"/>
    <w:p w14:paraId="409405CA" w14:textId="77777777" w:rsidR="0057624D" w:rsidRPr="00601B27" w:rsidRDefault="0057624D" w:rsidP="00B22B99">
      <w:pPr>
        <w:rPr>
          <w:sz w:val="32"/>
          <w:szCs w:val="32"/>
        </w:rPr>
      </w:pPr>
    </w:p>
    <w:p w14:paraId="09AEDEE6" w14:textId="77777777" w:rsidR="006710E1" w:rsidRDefault="006710E1" w:rsidP="00B22B99"/>
    <w:p w14:paraId="14A9D24F" w14:textId="77777777" w:rsidR="006710E1" w:rsidRDefault="006710E1" w:rsidP="00B22B99"/>
    <w:p w14:paraId="51F5CF61" w14:textId="77777777" w:rsidR="006710E1" w:rsidRPr="006710E1" w:rsidRDefault="006710E1" w:rsidP="00B22B99"/>
    <w:p w14:paraId="5E219C4B" w14:textId="77777777" w:rsidR="0057624D" w:rsidRPr="006710E1" w:rsidRDefault="0057624D" w:rsidP="006710E1">
      <w:pPr>
        <w:rPr>
          <w:sz w:val="16"/>
          <w:szCs w:val="16"/>
        </w:rPr>
      </w:pPr>
    </w:p>
    <w:p w14:paraId="4A75E434" w14:textId="77777777" w:rsidR="0057624D" w:rsidRPr="00B22B99" w:rsidRDefault="0057624D" w:rsidP="00B22B99"/>
    <w:p w14:paraId="27C07B81" w14:textId="77777777" w:rsidR="0057624D" w:rsidRPr="00B22B99" w:rsidRDefault="0057624D" w:rsidP="00B22B99"/>
    <w:p w14:paraId="1E4ECAD3" w14:textId="77777777" w:rsidR="0057624D" w:rsidRPr="00B22B99" w:rsidRDefault="0057624D" w:rsidP="00B22B99"/>
    <w:p w14:paraId="4FC7B4A7" w14:textId="77777777" w:rsidR="0057624D" w:rsidRDefault="0057624D" w:rsidP="006710E1">
      <w:pPr>
        <w:ind w:right="4410"/>
        <w:jc w:val="right"/>
      </w:pPr>
    </w:p>
    <w:p w14:paraId="3B6A46C1" w14:textId="77777777" w:rsidR="006710E1" w:rsidRPr="00B22B99" w:rsidRDefault="006710E1" w:rsidP="006710E1">
      <w:pPr>
        <w:jc w:val="right"/>
      </w:pPr>
    </w:p>
    <w:p w14:paraId="77293D04" w14:textId="77777777" w:rsidR="0057624D" w:rsidRPr="00B22B99" w:rsidRDefault="0057624D" w:rsidP="00B22B99">
      <w:pPr>
        <w:rPr>
          <w:sz w:val="14"/>
          <w:szCs w:val="14"/>
        </w:rPr>
        <w:sectPr w:rsidR="0057624D" w:rsidRPr="00B22B99" w:rsidSect="00B22B99">
          <w:pgSz w:w="12240" w:h="15840" w:code="1"/>
          <w:pgMar w:top="2880" w:right="720" w:bottom="504" w:left="720" w:header="720" w:footer="720" w:gutter="0"/>
          <w:cols w:space="720"/>
        </w:sectPr>
      </w:pPr>
    </w:p>
    <w:p w14:paraId="0416B9AB" w14:textId="77777777" w:rsidR="0057624D" w:rsidRPr="00BE2BBF" w:rsidRDefault="001379BB" w:rsidP="00BF038B">
      <w:pPr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lastRenderedPageBreak/>
        <w:pict w14:anchorId="4EB959F8">
          <v:group id="_x0000_s1074" style="position:absolute;margin-left:570.15pt;margin-top:635.3pt;width:1.65pt;height:1.2pt;z-index:-251672576;mso-position-horizontal-relative:page;mso-position-vertical-relative:page" coordorigin="11403,12706" coordsize="33,24">
            <v:shape id="_x0000_s1075" style="position:absolute;left:11403;top:12706;width:33;height:24" coordorigin="11403,12706" coordsize="33,24" path="m11429,12726l11436,12713,11430,12706,11424,12710,11415,12706,11404,12715,11403,12726,11415,12729,11429,12726xe" fillcolor="#f2f2f2" stroked="f">
              <v:path arrowok="t"/>
            </v:shape>
            <w10:wrap anchorx="page" anchory="page"/>
          </v:group>
        </w:pict>
      </w:r>
      <w:r w:rsidR="00BF038B" w:rsidRPr="00BE2BBF">
        <w:rPr>
          <w:rFonts w:ascii="Calibri" w:eastAsia="Calibri" w:hAnsi="Calibri" w:cs="Calibri"/>
          <w:color w:val="363435"/>
          <w:sz w:val="18"/>
          <w:szCs w:val="18"/>
        </w:rPr>
        <w:t>В октябре 2018 года на ежегодном глобальном саммите фонда семейной гиперхолестеринемии врач Роджер Уильямс, создатель метода каскадного скрининга, удостоился чести отметить двадцатую годовщину с момента публикации материалов консилиума Всемирной организации здравоохранения (ВОЗ) по семейной гиперхолестеринемии (СГХС), — наиболее распространенному генетическому заболеванию, вызывающему преждевременное развитие ишемической болезни сердца, — и отметил наличие по-прежнему актуальных проблем в области выявления и лечения заболевания</w:t>
      </w:r>
      <w:r w:rsidR="00BF038B" w:rsidRPr="00BE2BBF">
        <w:rPr>
          <w:rFonts w:ascii="Calibri" w:eastAsia="Calibri" w:hAnsi="Calibri" w:cs="Calibri"/>
          <w:color w:val="363435"/>
          <w:sz w:val="18"/>
          <w:szCs w:val="18"/>
          <w:vertAlign w:val="superscript"/>
        </w:rPr>
        <w:t>1</w:t>
      </w:r>
      <w:r w:rsidR="00BF038B" w:rsidRPr="00BE2BBF">
        <w:rPr>
          <w:rFonts w:ascii="Calibri" w:eastAsia="Calibri" w:hAnsi="Calibri" w:cs="Calibri"/>
          <w:color w:val="363435"/>
          <w:sz w:val="18"/>
          <w:szCs w:val="18"/>
        </w:rPr>
        <w:t>. Распространенность СГХС во всем мире составляет приблизительно 1 случай на 220–250 человек; вследствие заболевания уровни холестерина липопротеинов низкой плотности (ХС-ЛПНП) остаются повышенными до конца жизни [2, 3]. При отсутствии лечения острый коронарный синдром развивается у 50 % мужчин с СГХС к 50 годам и у 30 % женщин с СГХС к 60 годам. СГХС обладает аутосомно-доминантным типом наследования, то есть вероятность передачи гена СГХС от родителя ребенку составляет 50 %.</w:t>
      </w:r>
    </w:p>
    <w:p w14:paraId="76DD884B" w14:textId="77777777" w:rsidR="006710E1" w:rsidRPr="00BE2BBF" w:rsidRDefault="00BF038B" w:rsidP="00BF038B">
      <w:pPr>
        <w:spacing w:before="240"/>
        <w:rPr>
          <w:rFonts w:ascii="Calibri" w:eastAsia="Calibri" w:hAnsi="Calibri" w:cs="Calibri"/>
          <w:color w:val="363435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С момента публикации материалов консилиума ВОЗ в 1998 году был достигнут значительный научный прогресс в понимании генетических особенностей СГХС и механизмов развития ишемической болезни сердца, а также в разработке препаратов для снижения уровня холестерина и профилактики развития острого коронарного синдрома. Однако многие дальновидные рекомендации из материалов консилиума ВОЗ остаются невыполненными, особенно в отношении повышения осведомленности о СГХС и просвещения общественности и медицинского сообщества о СГХС. Это в свою очередь привело к таким серьезным последствиям, как недостаточная диагностика и лечение заболевания. Заболевание остается недиагностированным приблизительно у 90 % из примерно 34 000 000 человек с СГХС во всем мире, а многие пациенты с диагностированной СГХС получают недостаточное лечение, страдают от преждевременного поражения сердечно-сосудистой системы или находятся в группе риска внезапной смерти</w:t>
      </w:r>
      <w:r w:rsidRPr="00BE2BBF">
        <w:rPr>
          <w:rFonts w:ascii="Calibri" w:eastAsia="Calibri" w:hAnsi="Calibri" w:cs="Calibri"/>
          <w:color w:val="363435"/>
          <w:sz w:val="18"/>
          <w:szCs w:val="18"/>
          <w:vertAlign w:val="superscript"/>
        </w:rPr>
        <w:t>2, 3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t>.</w:t>
      </w:r>
    </w:p>
    <w:p w14:paraId="2BC2A7C6" w14:textId="77777777" w:rsidR="0057624D" w:rsidRPr="00BE2BBF" w:rsidRDefault="00BF038B" w:rsidP="00BF038B">
      <w:pPr>
        <w:spacing w:before="24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С момента публикации отчета ВОЗ в некоторых странах были разработаны успешные программы лечения СГХС и созданы профильные медицинские реестры. Кроме того, во всем мире появились группы по защите интересов пациентов с СГХС. Важнейшее значение в случае наиболее успешных инициатив имела государственная поддержка</w:t>
      </w:r>
      <w:r w:rsidRPr="00BE2BBF">
        <w:rPr>
          <w:rFonts w:ascii="Calibri" w:eastAsia="Calibri" w:hAnsi="Calibri" w:cs="Calibri"/>
          <w:color w:val="363435"/>
          <w:sz w:val="18"/>
          <w:szCs w:val="18"/>
          <w:vertAlign w:val="superscript"/>
        </w:rPr>
        <w:t>4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t>. Распространенными примерами для подражания для других стран могут послужить такие модели, как программа каскадного генетического тестирования родственников пациентов с подтвержденным диагнозом СГХС, унифицированные модели лечения СГХС, рассчитанные на всю продолжительность жизни (включая медицинскую помощь, сестринский уход, фармакологическую коррекцию, генетическое консультирование, питание и психологическую поддержку), а также рекомендации по лечению СГХС в рамках доказательной медицины, основанные на изучении экономической эффективности.</w:t>
      </w:r>
    </w:p>
    <w:p w14:paraId="65AB1A97" w14:textId="77777777" w:rsidR="0057624D" w:rsidRPr="00B22B99" w:rsidRDefault="00DA7C8F" w:rsidP="00DA7C8F">
      <w:pPr>
        <w:spacing w:before="48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7BD57F6" wp14:editId="75E43C2D">
            <wp:extent cx="5943600" cy="337002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obalcallto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ED84" w14:textId="77777777" w:rsidR="0057624D" w:rsidRPr="00BE2BBF" w:rsidRDefault="00BE2BBF" w:rsidP="00BE2BBF">
      <w:pPr>
        <w:spacing w:before="240"/>
        <w:rPr>
          <w:rFonts w:ascii="Calibri" w:eastAsia="Calibri" w:hAnsi="Calibri" w:cs="Calibri"/>
          <w:sz w:val="7"/>
          <w:szCs w:val="7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lastRenderedPageBreak/>
        <w:t>Принимая во внимание сохраняющуюся необходимость повышения осведомленности о СГХС во всем мире и распространения информации об успехах лечения пациентов, Всемирная Кардиологическая Организация (WHO) и Фонд по борьбе с СГХС (FH Fund) свои усилия с целью объединить авторов исходных материалов, международное сообщество пациентов с СГХС, организации по защите интересов пациентов с СГХС, медицинских и научных экспертов по СГХС, а также экспертов в области общественного здравоохранения для разработки нового комплекса рекомендаций по вопросам глобальной политики в отношении СГХС. После пересмотра 11 исходных рекомендаций были сформулированы 9 новых, отражающих научный прогресс в данной области и имеющиеся препятствия на пути к лечению СГХС, возникавшие на протяжении двух последних десятилетий. Сорок стран приняли участие в этой инициативе в рамках международных встреч в 2018 году, Глобального саммита по СГХС, Всемирного кардиологического конгресса, а также онлайн-мероприятий с целью разработки представленных ниже рекомендаций. Их цель заключалась в создании документа, который могли бы использовать страны с высоким, средним и низким уровнем дохода населения во всем мире для улучшения результатов лечения СГХС</w:t>
      </w:r>
      <w:r w:rsidRPr="00BE2BBF">
        <w:rPr>
          <w:rFonts w:ascii="Calibri" w:eastAsia="Calibri" w:hAnsi="Calibri" w:cs="Calibri"/>
          <w:color w:val="363435"/>
          <w:sz w:val="18"/>
          <w:szCs w:val="18"/>
          <w:vertAlign w:val="superscript"/>
        </w:rPr>
        <w:t>4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t>.</w:t>
      </w:r>
    </w:p>
    <w:p w14:paraId="46CFD8EA" w14:textId="77777777" w:rsidR="0057624D" w:rsidRPr="001379BB" w:rsidRDefault="00BE2BBF" w:rsidP="00DA7C8F">
      <w:pPr>
        <w:spacing w:before="660"/>
        <w:rPr>
          <w:color w:val="FF0000"/>
          <w:sz w:val="13"/>
          <w:szCs w:val="13"/>
        </w:rPr>
      </w:pPr>
      <w:r w:rsidRPr="001379BB">
        <w:rPr>
          <w:color w:val="FF0000"/>
          <w:sz w:val="24"/>
          <w:szCs w:val="24"/>
        </w:rPr>
        <w:t>РЕКОМЕНДАЦИИ ПО ГЛОБАЛЬНОМУ ПРИЗЫВУ К ДЕЙСТВИЮ</w:t>
      </w:r>
      <w:r w:rsidR="00DA7C8F" w:rsidRPr="001379BB">
        <w:rPr>
          <w:color w:val="FF0000"/>
          <w:sz w:val="24"/>
          <w:szCs w:val="24"/>
          <w:vertAlign w:val="superscript"/>
        </w:rPr>
        <w:t>4</w:t>
      </w:r>
    </w:p>
    <w:p w14:paraId="2EC15B81" w14:textId="77777777" w:rsidR="0057624D" w:rsidRPr="00BE2BBF" w:rsidRDefault="00BE2BBF" w:rsidP="00DA7C8F">
      <w:pPr>
        <w:spacing w:before="240"/>
        <w:rPr>
          <w:rFonts w:asciiTheme="minorHAnsi" w:eastAsia="Century Gothic" w:hAnsiTheme="minorHAnsi" w:cstheme="minorHAnsi"/>
          <w:sz w:val="18"/>
          <w:szCs w:val="18"/>
        </w:rPr>
      </w:pPr>
      <w:proofErr w:type="gramStart"/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В связи с недостаточной диагностикой и лечением СГХС первая рекомендация касается повышения осведомленности о данном заболевании.</w:t>
      </w:r>
      <w:proofErr w:type="gramEnd"/>
    </w:p>
    <w:p w14:paraId="4AE03D2D" w14:textId="77777777" w:rsidR="0057624D" w:rsidRPr="00BE2BBF" w:rsidRDefault="00BE2BBF" w:rsidP="00DA7C8F">
      <w:pPr>
        <w:spacing w:before="24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Осведомленность</w:t>
      </w:r>
    </w:p>
    <w:p w14:paraId="1797D4F8" w14:textId="77777777" w:rsidR="0057624D" w:rsidRPr="00BE2BBF" w:rsidRDefault="00BE2BBF" w:rsidP="00DA7C8F">
      <w:pPr>
        <w:spacing w:before="12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Следует повышать осведомленность людей об актуальности СГХС и тяжелой формы гиперхолестеринемии как глобальной проблемы общественного здравоохранения. Без общей осведомленности о необходимости выявления и лечения заболевания в раннем возрасте невозможно снизить риск развития ишемической болезни сердца (ИБС) у примерно 34 миллионов заболевших людей во всем мире. Необходимо повышать осведомленность у широкой аудитории, включая общественность, образовательные учреждения (как государственные, так и медицинские), медицинское сообщество (включая оказание первичной и специализированной помощи) и систему здравоохранения в целом. День осведомленности о СГХС отмечается ежегодно 24 сентября.</w:t>
      </w:r>
    </w:p>
    <w:p w14:paraId="36D1FDF8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В целях улучшения лечения СГХС компетентные эксперты должны взять инициативу в свои руки. Эту роль выполняет множество организаций по защите интересов пациентов с СГХС вместе с пациентами-партнерами и экспертами в области научных исследований СГХС.</w:t>
      </w:r>
    </w:p>
    <w:p w14:paraId="3108DEB3" w14:textId="77777777" w:rsidR="0057624D" w:rsidRPr="00BE2BBF" w:rsidRDefault="00BE2BBF" w:rsidP="00DA7C8F">
      <w:pPr>
        <w:spacing w:before="24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Защита интересов</w:t>
      </w:r>
    </w:p>
    <w:p w14:paraId="3C543712" w14:textId="77777777" w:rsidR="0057624D" w:rsidRPr="00BE2BBF" w:rsidRDefault="00BE2BBF" w:rsidP="003F0058">
      <w:pPr>
        <w:spacing w:before="12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Наибольшее значение имеет создание специфических для страны или региона организаций по защите интересов пациентов, специализирующихся на выполнении рекомендаций, изложенных в этом документе. Такие организации должны быть сообществами, в состав которых входят и где сотрудничают пациенты, врачи и другие медицинские работники, участвующие в лечении пациентов с СГХС. Организации должны вести образовательную деятельность и обеспечивать поддержку пациентов в получении медицинской помощи. Следует разработать комплекс специфических для конкретных стран мер, способствующих пониманию принципов создания организации по защите интересов пациентов. К таким принципам относятся определяющие факторы государственной политики здравоохранения, процесс оценки медицинских технологий, юридическое регулирование процесса лоббирования</w:t>
      </w:r>
      <w:r w:rsidR="003F0058">
        <w:rPr>
          <w:rFonts w:ascii="Calibri" w:eastAsia="Calibri" w:hAnsi="Calibri" w:cs="Calibri"/>
          <w:color w:val="363435"/>
          <w:sz w:val="18"/>
          <w:szCs w:val="18"/>
        </w:rPr>
        <w:t xml:space="preserve"> 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t>интересов в органах власти, защита интересов (в том числе в отношении дискриминации по генетическим признакам), доступность средств связи и распространение информации, а также другие основополагающие принципы, не зависящие от уровня доходов населения.</w:t>
      </w:r>
    </w:p>
    <w:p w14:paraId="05D1704E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Существуют доступные для реализации успешные модели выявления СГХС, включая скрининг для выявления новых случаев заболевания или использование генетического тестирования либо клинических критериев для диагностики.</w:t>
      </w:r>
    </w:p>
    <w:p w14:paraId="4ECE0DBE" w14:textId="77777777" w:rsidR="0057624D" w:rsidRPr="00BE2BBF" w:rsidRDefault="00BE2BBF" w:rsidP="00DA7C8F">
      <w:pPr>
        <w:spacing w:before="24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Скрининг, тестирование и диагностика</w:t>
      </w:r>
    </w:p>
    <w:p w14:paraId="51F20EB5" w14:textId="77777777" w:rsidR="0057624D" w:rsidRPr="00BE2BBF" w:rsidRDefault="00BE2BBF" w:rsidP="00DA7C8F">
      <w:pPr>
        <w:spacing w:before="12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 xml:space="preserve">Скрининг на СГХС следует проводить в соответствии со специфическими для стран условиями и рекомендациями. Скрининг может быть основан на уровне холестерина (с порогами отсечки, адаптированными для конкретной страны 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lastRenderedPageBreak/>
        <w:t>или целевой популяции) либо на положительных результатах генетических тестов в отношении функциональных дефектов рецепторов ЛПНП. Более эффективным подходом является сочетание универсального скрининга детей и родителей и каскадного тестирования родственников первой и второй степени родства носителей заболевания. Поскольку многие пациенты с СГХС соответствуют фенотипическим критериям, эти критерии могут лечь в основу первого этапа программ широкого скрининга, а также использоваться для выявления пациентов, которые могут получить наибольшую пользу от генетического тестирования в условиях ограниченных ресурсов. Как и в случае других генетических заболеваний, на справедливой основе должны быть доступны ресурсы для скрининга и диагностики заболевания на протяжении всей жизни, а также стратификации риска у пациентов, начиная с детского возраста, с учетом законных интересов ребенка.</w:t>
      </w:r>
    </w:p>
    <w:p w14:paraId="4E2B2A0B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Цели лечения СГХС имеют доказательную базу и включены в рекомендации по профилактике сердечно-сосудистых заболеваний во всем мире. Эти материалы могут использовать врачи и смежные медицинские работники.</w:t>
      </w:r>
    </w:p>
    <w:p w14:paraId="68F8BE3D" w14:textId="77777777" w:rsidR="0057624D" w:rsidRPr="00BE2BBF" w:rsidRDefault="00BE2BBF" w:rsidP="00DA7C8F">
      <w:pPr>
        <w:spacing w:before="24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Лечение</w:t>
      </w:r>
    </w:p>
    <w:p w14:paraId="29A706A0" w14:textId="77777777" w:rsidR="0057624D" w:rsidRPr="00BE2BBF" w:rsidRDefault="00BE2BBF" w:rsidP="00DA7C8F">
      <w:pPr>
        <w:spacing w:before="12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Лечение СГХС для профилактики преждевременного развития ИБС должно быть персонализированным и доступным во всех отношениях. В идеальном случае лечение следует начинать в детстве и продолжать на протяжении всей жизни пациента.</w:t>
      </w:r>
    </w:p>
    <w:p w14:paraId="07B5E126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Наиболее тяжелые формы СГХС у взрослых с показателями Х-ЛПНП &gt; 10 ммоль/л или 400 мг/дл являются причиной заболевания и смерти в раннем возрасте и являются тяжелым бременем для семей. Поэтому лечение таких пациентов требует использования уникальных ресурсов.</w:t>
      </w:r>
    </w:p>
    <w:p w14:paraId="678B2B0C" w14:textId="77777777" w:rsidR="0057624D" w:rsidRPr="00BE2BBF" w:rsidRDefault="00BE2BBF" w:rsidP="00DA7C8F">
      <w:pPr>
        <w:spacing w:before="240" w:after="12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Тяжелая и гомозиготная формы СГ</w:t>
      </w:r>
    </w:p>
    <w:p w14:paraId="60FF46B2" w14:textId="77777777" w:rsidR="0057624D" w:rsidRPr="00BE2BBF" w:rsidRDefault="00BE2BBF" w:rsidP="00DA7C8F">
      <w:pPr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В отдельных случаях следует создать особые рекомендации по лечению тяжелой и гомозиготной форм СГХС, которые характеризуются уровнем холестерина ЛПНП ≥ 10 ммоль/л (400 мг/дл), либо наличием патогенного варианта гена в любом из генов, связанных с СГ, в 2 разных аллелях. Рекомендации должны включать стратегии выявления, генетической и дифференциальной диагностики, а также консервативного лечения заболевания (как в случае вторичной ИБС, так и в случае пороков аортального клапана). Для оптимального лечения необходимы специализированные центры по диагностике и лечению таких пациентов. Лечение тяжелой и гомозиготной форм заболевания должно быть гарантировано/обеспечено государством.</w:t>
      </w:r>
    </w:p>
    <w:p w14:paraId="3C48049D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Поскольку СГХС является генетическим заболеванием, затрагивающим все поколения и вызывающим различные проблемы в разные периоды жизни, лечение должно проводиться на протяжении всей жизни.</w:t>
      </w:r>
    </w:p>
    <w:p w14:paraId="31E5CEBB" w14:textId="77777777" w:rsidR="0057624D" w:rsidRPr="00BE2BBF" w:rsidRDefault="00BE2BBF" w:rsidP="00DA7C8F">
      <w:pPr>
        <w:spacing w:before="240" w:after="12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Семейное лечение</w:t>
      </w:r>
    </w:p>
    <w:p w14:paraId="5838B1A7" w14:textId="77777777" w:rsidR="0057624D" w:rsidRPr="00BE2BBF" w:rsidRDefault="00BE2BBF" w:rsidP="00B22B99">
      <w:pPr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Разработайте семейный план лечения с возможностью вовлечения пациентов и совместного принятия решений на протяжении всей жизни. Наиболее эффективная модель оказания медицинской помощи должна включать первичную и специализированную помощь, скрининг членов семьи, генетическое консультирование, социальную поддержку, услуги медико-санитарных работников, а также специфические ресурсы для разных этапов развития (детство, беременность, взрослая жизнь, лечение клинических проявлений, консультирование по поводу утраты близкого человека).</w:t>
      </w:r>
    </w:p>
    <w:p w14:paraId="120425B8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При помощи реестров СГХС была собрана важная информация о естественном развитии данного заболевания, включая информацию об осведомленности, успешности и результатах его лечения.</w:t>
      </w:r>
    </w:p>
    <w:p w14:paraId="4427B359" w14:textId="77777777" w:rsidR="0057624D" w:rsidRPr="00BE2BBF" w:rsidRDefault="00BE2BBF" w:rsidP="00DA7C8F">
      <w:pPr>
        <w:spacing w:before="240" w:after="12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Реестры</w:t>
      </w:r>
    </w:p>
    <w:p w14:paraId="42183D51" w14:textId="77777777" w:rsidR="0057624D" w:rsidRPr="00BE2BBF" w:rsidRDefault="00BE2BBF" w:rsidP="00DA7C8F">
      <w:pPr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 xml:space="preserve">Необходимо финансировать национальные и международные реестры СГХС для проведения исследований с целью количественной оценки текущих методов и выявления несоответствий оказываемой медицинской помощи существующим рекомендациям, публикации показателей лечения заболевания для мониторинга и стандартизации оказываемой помощи, определения областей для мобилизации ресурсов в будущем, распространения и определения передовых методов, а также повышения осведомленности и упрощения скрининга СГХС. По мере возможности следует </w:t>
      </w:r>
      <w:r w:rsidRPr="00BE2BBF">
        <w:rPr>
          <w:rFonts w:ascii="Calibri" w:eastAsia="Calibri" w:hAnsi="Calibri" w:cs="Calibri"/>
          <w:color w:val="363435"/>
          <w:sz w:val="18"/>
          <w:szCs w:val="18"/>
        </w:rPr>
        <w:lastRenderedPageBreak/>
        <w:t>рассматривать применение ориентированных на пациента подходов, таких как создание платформы для ввода данных и обучения пациентов. Медицинские работники, организации по защите интересов пациентов и компании, занимающиеся обработкой данных, должны гарантировать неприкосновенность частной жизни и конфиденциальность информации.</w:t>
      </w:r>
    </w:p>
    <w:p w14:paraId="36F51A0D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Необходимо расширять знания о СГХС — не только о научных и медицинских достижениях в этой области, но и об определении наиболее эффективных способов улучшения лечения СГХС во многих системах оказания медицинской помощи по всему миру.</w:t>
      </w:r>
    </w:p>
    <w:p w14:paraId="73F54574" w14:textId="77777777" w:rsidR="0057624D" w:rsidRPr="00BE2BBF" w:rsidRDefault="00BE2BBF" w:rsidP="00DA7C8F">
      <w:pPr>
        <w:spacing w:before="240" w:after="12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Исследования</w:t>
      </w:r>
    </w:p>
    <w:p w14:paraId="23766017" w14:textId="77777777" w:rsidR="0057624D" w:rsidRPr="00BE2BBF" w:rsidRDefault="00BE2BBF" w:rsidP="00B22B99">
      <w:pPr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Необходимо финансировать исследования в области генетических факторов и воздействия окружающей среды, влияющих на проявление наследственных расстройств липидного обмена и его естественного развития, а также развития атеросклероза, вмешательств с целью остановки прогрессирования атеросклероза, стратификацию риска и фармакологию, безопасность и эффективность новых и существующих гиполипидемических препаратов.</w:t>
      </w:r>
    </w:p>
    <w:p w14:paraId="0F510A08" w14:textId="77777777" w:rsidR="0057624D" w:rsidRPr="00BE2BBF" w:rsidRDefault="00BE2BBF" w:rsidP="00DA7C8F">
      <w:pPr>
        <w:spacing w:before="120"/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Следует финансировать исследования по определению и внедрению оптимальных, доступных и приемлемых интегрированных систем оказания медицинской помощи, применимых к конкретной региональной структуре. Эти исследования должны касаться оказания медицинской помощи с использованием существующих рекомендаций в рамках доказательной медицины на нескольких уровнях, включая правительство, общество в целом, инфраструктуру здравоохранения, а также контактов работников здравоохранения.</w:t>
      </w:r>
    </w:p>
    <w:p w14:paraId="32FA86CF" w14:textId="77777777" w:rsidR="0057624D" w:rsidRPr="00BE2BBF" w:rsidRDefault="00BE2BBF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</w:pPr>
      <w:r w:rsidRPr="00BE2BBF">
        <w:rPr>
          <w:rFonts w:asciiTheme="minorHAnsi" w:eastAsia="Century Gothic" w:hAnsiTheme="minorHAnsi" w:cstheme="minorHAnsi"/>
          <w:b/>
          <w:i/>
          <w:color w:val="363435"/>
          <w:sz w:val="18"/>
          <w:szCs w:val="18"/>
        </w:rPr>
        <w:t>Лечение СГХС должно быть доступным и значимо ценным для всех заинтересованных сторон.</w:t>
      </w:r>
    </w:p>
    <w:p w14:paraId="50128BFD" w14:textId="77777777" w:rsidR="0057624D" w:rsidRPr="00BE2BBF" w:rsidRDefault="00BE2BBF" w:rsidP="00DA7C8F">
      <w:pPr>
        <w:spacing w:before="240" w:after="120"/>
        <w:rPr>
          <w:sz w:val="22"/>
          <w:szCs w:val="22"/>
        </w:rPr>
      </w:pPr>
      <w:r w:rsidRPr="00BE2BBF">
        <w:rPr>
          <w:color w:val="DC3639"/>
          <w:sz w:val="22"/>
          <w:szCs w:val="22"/>
        </w:rPr>
        <w:t>Стоимость и ценность</w:t>
      </w:r>
    </w:p>
    <w:p w14:paraId="72914C1D" w14:textId="77777777" w:rsidR="0057624D" w:rsidRPr="00BE2BBF" w:rsidRDefault="00BE2BBF" w:rsidP="00B22B99">
      <w:pPr>
        <w:rPr>
          <w:rFonts w:ascii="Calibri" w:eastAsia="Calibri" w:hAnsi="Calibri" w:cs="Calibri"/>
          <w:sz w:val="18"/>
          <w:szCs w:val="18"/>
        </w:rPr>
      </w:pPr>
      <w:r w:rsidRPr="00BE2BBF">
        <w:rPr>
          <w:rFonts w:ascii="Calibri" w:eastAsia="Calibri" w:hAnsi="Calibri" w:cs="Calibri"/>
          <w:color w:val="363435"/>
          <w:sz w:val="18"/>
          <w:szCs w:val="18"/>
        </w:rPr>
        <w:t>Следует понимать ценность лечения СГХС как для семей, так и для общества в целом, включая дополнительные годы ожидаемой продолжительности жизни, отсутствия недееспособности и утраты трудоспособности. Если для оценки ценности вмешательства при СГХС используются конкретные медико-экономические модели (средство оценки медицинских технологий), они должны быть достаточно гибкими, чтобы каждая страна могла их использовать в соответствии с местными условиями. В идеальном случае следует использовать модели для расчета ценности при помощи показателя продолжительности жизни, скорректированного на ее качество (quality adjusted life-years — QALY), или других приемлемых метрик. В них должны учитываться изменения характеристик модели (например, стоимости лекарств и тестирования) с течением времени. Модель должна включать такие компоненты, как распространенность заболевания, метод скрининга (тип тестирования), стоимость лечения (включая соответствующие мероприятия) и категории плательщиков. Эти компоненты должны давать возможность определять экономию затрат при профилактическом лечении и выявлять ранее не проходивших лечение лиц при каскадном тестировании (если применимо).</w:t>
      </w:r>
    </w:p>
    <w:p w14:paraId="4B21E141" w14:textId="77777777" w:rsidR="0057624D" w:rsidRPr="001379BB" w:rsidRDefault="00BE2BBF" w:rsidP="00DA7C8F">
      <w:pPr>
        <w:spacing w:before="720"/>
        <w:rPr>
          <w:color w:val="FF0000"/>
          <w:sz w:val="24"/>
          <w:szCs w:val="24"/>
        </w:rPr>
      </w:pPr>
      <w:r w:rsidRPr="001379BB">
        <w:rPr>
          <w:color w:val="FF0000"/>
          <w:sz w:val="24"/>
          <w:szCs w:val="24"/>
        </w:rPr>
        <w:t>ЗАКЛЮЧЕНИЕ</w:t>
      </w:r>
    </w:p>
    <w:p w14:paraId="6DCB6A07" w14:textId="77777777" w:rsidR="0057624D" w:rsidRPr="00BE2BBF" w:rsidRDefault="00BE2BBF" w:rsidP="00DA7C8F">
      <w:pPr>
        <w:spacing w:before="240"/>
        <w:rPr>
          <w:rFonts w:ascii="Calibri" w:eastAsia="Calibri" w:hAnsi="Calibri" w:cs="Calibri"/>
          <w:sz w:val="18"/>
          <w:szCs w:val="18"/>
        </w:rPr>
        <w:sectPr w:rsidR="0057624D" w:rsidRPr="00BE2BBF" w:rsidSect="00DA7C8F">
          <w:footerReference w:type="default" r:id="rId9"/>
          <w:pgSz w:w="12240" w:h="15840" w:code="1"/>
          <w:pgMar w:top="1440" w:right="1440" w:bottom="1440" w:left="1440" w:header="0" w:footer="720" w:gutter="0"/>
          <w:pgNumType w:start="1"/>
          <w:cols w:space="720"/>
        </w:sectPr>
      </w:pPr>
      <w:proofErr w:type="gramStart"/>
      <w:r w:rsidRPr="00BE2BBF">
        <w:rPr>
          <w:rFonts w:ascii="Calibri" w:eastAsia="Calibri" w:hAnsi="Calibri" w:cs="Calibri"/>
          <w:color w:val="363435"/>
          <w:sz w:val="18"/>
          <w:szCs w:val="18"/>
        </w:rPr>
        <w:t>Международное сообщество по борьбе с СГХС стремится реализовать Глобальный Призыв к Действию в отдельных странах.</w:t>
      </w:r>
      <w:proofErr w:type="gramEnd"/>
      <w:r w:rsidRPr="00BE2BBF">
        <w:rPr>
          <w:rFonts w:ascii="Calibri" w:eastAsia="Calibri" w:hAnsi="Calibri" w:cs="Calibri"/>
          <w:color w:val="363435"/>
          <w:sz w:val="18"/>
          <w:szCs w:val="18"/>
        </w:rPr>
        <w:t xml:space="preserve"> Этот документ можно использовать для разработки специфических для стран целей и показателей для улучшения лечения и профилактики развития острого коронарного синдрома по всему миру. СГХС изначально использовалась в качестве модели для понимания возникновения сердечно-сосудистых заболеваний и разработки профилактических методов лечения с целью предотвращения последствий острого коронарного синдрома. От успешности этой глобальной инициативы зависит достижение такой цели точной медицины, как использование генетических инструментов для спасения жизней.</w:t>
      </w:r>
    </w:p>
    <w:p w14:paraId="2FAF9291" w14:textId="77777777" w:rsidR="006923A9" w:rsidRPr="004C3871" w:rsidRDefault="00DA6E39" w:rsidP="00DA6E39">
      <w:pPr>
        <w:spacing w:after="240"/>
        <w:ind w:left="187" w:hanging="187"/>
        <w:rPr>
          <w:sz w:val="24"/>
          <w:szCs w:val="24"/>
        </w:rPr>
      </w:pPr>
      <w:r w:rsidRPr="00DA6E39">
        <w:rPr>
          <w:sz w:val="24"/>
          <w:szCs w:val="24"/>
        </w:rPr>
        <w:lastRenderedPageBreak/>
        <w:t>ИСТОЧНИКИ</w:t>
      </w:r>
    </w:p>
    <w:p w14:paraId="7D96A09C" w14:textId="77777777" w:rsidR="00DA7C8F" w:rsidRPr="006923A9" w:rsidRDefault="005C6D69" w:rsidP="00DA6E39">
      <w:pPr>
        <w:ind w:left="180" w:hanging="180"/>
        <w:rPr>
          <w:color w:val="363435"/>
        </w:rPr>
      </w:pPr>
      <w:r w:rsidRPr="006923A9">
        <w:rPr>
          <w:color w:val="363435"/>
          <w:vertAlign w:val="superscript"/>
        </w:rPr>
        <w:t>1</w:t>
      </w:r>
      <w:r w:rsidR="00DA7C8F" w:rsidRPr="006923A9">
        <w:rPr>
          <w:color w:val="363435"/>
        </w:rPr>
        <w:tab/>
      </w:r>
      <w:r w:rsidR="00DA6E39" w:rsidRPr="00DA6E39">
        <w:rPr>
          <w:color w:val="363435"/>
        </w:rPr>
        <w:t>Familial Hyperchcolesterolemia [FH]: Report of a WHO Consultation. World Health Organization, Human Genetics Programme, Division of Noncommunicable Diseases. WHO/HGN/FH/CONS/98.7. Geneva, 1998.</w:t>
      </w:r>
    </w:p>
    <w:p w14:paraId="169C7C02" w14:textId="77777777" w:rsidR="00DA7C8F" w:rsidRPr="006923A9" w:rsidRDefault="005C6D69" w:rsidP="00DA6E39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2</w:t>
      </w:r>
      <w:r w:rsidR="00DA7C8F" w:rsidRPr="006923A9">
        <w:rPr>
          <w:color w:val="363435"/>
        </w:rPr>
        <w:tab/>
      </w:r>
      <w:r w:rsidR="00DA6E39" w:rsidRPr="00DA6E39">
        <w:rPr>
          <w:color w:val="363435"/>
        </w:rPr>
        <w:t>Gidding SS, Champagne MA, de Ferranti SD, et al. The Agenda for Familial Hypercholesterolemia A Scientific Statement From the American Heart Association. Circulation. 2015;132(22):2167-92.</w:t>
      </w:r>
    </w:p>
    <w:p w14:paraId="0C4E0B9B" w14:textId="77777777" w:rsidR="00DA7C8F" w:rsidRPr="006923A9" w:rsidRDefault="005C6D69" w:rsidP="00DA6E39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3</w:t>
      </w:r>
      <w:r w:rsidR="00DA7C8F" w:rsidRPr="006923A9">
        <w:rPr>
          <w:color w:val="363435"/>
        </w:rPr>
        <w:tab/>
      </w:r>
      <w:r w:rsidR="00DA6E39" w:rsidRPr="00DA6E39">
        <w:rPr>
          <w:color w:val="363435"/>
          <w:lang w:val="en-IN"/>
        </w:rPr>
        <w:t>Nordestgaard BG, Chapman MJ, Humphries SE, et al. Familial hypercholesterolaemia is underdiagnosed and undertreated in the general population: guidance for clinicians to prevent coronary heart disease: consensus statement of the European Atherosclerosis Society. Eur Heart J. 2013;34(45):3478-90(a).</w:t>
      </w:r>
    </w:p>
    <w:p w14:paraId="291FF999" w14:textId="77777777" w:rsidR="00DA7C8F" w:rsidRDefault="005C6D69" w:rsidP="00DA6E39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4</w:t>
      </w:r>
      <w:r w:rsidR="00DA7C8F" w:rsidRPr="006923A9">
        <w:rPr>
          <w:color w:val="363435"/>
        </w:rPr>
        <w:tab/>
      </w:r>
      <w:r w:rsidR="00DA6E39" w:rsidRPr="00DA6E39">
        <w:rPr>
          <w:color w:val="363435"/>
        </w:rPr>
        <w:t>Representatives of the Global Familial Hypercholesterolemia Community (Gidding SS, last author). Reducing the Clinical and Public Health Burden of Familial Hypercholesterolemia. JAMA Cardiol. 2020: epub ahead of print.</w:t>
      </w:r>
    </w:p>
    <w:p w14:paraId="4AB73694" w14:textId="77777777" w:rsidR="001379BB" w:rsidRDefault="001379BB" w:rsidP="00DA6E39">
      <w:pPr>
        <w:spacing w:before="280"/>
        <w:ind w:left="187" w:hanging="187"/>
        <w:rPr>
          <w:color w:val="363435"/>
        </w:rPr>
      </w:pPr>
    </w:p>
    <w:p w14:paraId="71B596FE" w14:textId="77777777" w:rsidR="001379BB" w:rsidRPr="006923A9" w:rsidRDefault="001379BB" w:rsidP="00DA6E39">
      <w:pPr>
        <w:spacing w:before="280"/>
        <w:ind w:left="187" w:hanging="187"/>
      </w:pPr>
      <w:r>
        <w:rPr>
          <w:noProof/>
        </w:rPr>
        <w:drawing>
          <wp:inline distT="0" distB="0" distL="0" distR="0" wp14:anchorId="4FE572F2" wp14:editId="30779DA2">
            <wp:extent cx="5943600" cy="4203700"/>
            <wp:effectExtent l="0" t="0" r="0" b="0"/>
            <wp:docPr id="1" name="Picture 1" descr="Macintosh HD:Users:malik:Downloads:FH Contribu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k:Downloads:FH Contributo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9BB" w:rsidRPr="006923A9" w:rsidSect="00DA7C8F">
      <w:footerReference w:type="default" r:id="rId11"/>
      <w:pgSz w:w="12240" w:h="15840" w:code="1"/>
      <w:pgMar w:top="1584" w:right="1440" w:bottom="57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D1F91F" w14:textId="77777777" w:rsidR="00DB4E4F" w:rsidRDefault="00DB4E4F">
      <w:r>
        <w:separator/>
      </w:r>
    </w:p>
  </w:endnote>
  <w:endnote w:type="continuationSeparator" w:id="0">
    <w:p w14:paraId="27F1445C" w14:textId="77777777" w:rsidR="00DB4E4F" w:rsidRDefault="00D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73CC" w14:textId="77777777" w:rsidR="006710E1" w:rsidRPr="006710E1" w:rsidRDefault="006710E1" w:rsidP="006710E1">
    <w:pPr>
      <w:tabs>
        <w:tab w:val="right" w:pos="10080"/>
      </w:tabs>
      <w:ind w:left="-720" w:right="-720"/>
      <w:rPr>
        <w:sz w:val="16"/>
        <w:szCs w:val="16"/>
      </w:rPr>
    </w:pP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1379BB">
      <w:rPr>
        <w:noProof/>
        <w:color w:val="363435"/>
        <w:sz w:val="16"/>
        <w:szCs w:val="16"/>
      </w:rPr>
      <w:t>4</w:t>
    </w:r>
    <w:r w:rsidRPr="006710E1">
      <w:fldChar w:fldCharType="end"/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ab/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1379BB">
      <w:rPr>
        <w:noProof/>
        <w:color w:val="363435"/>
        <w:sz w:val="16"/>
        <w:szCs w:val="16"/>
      </w:rPr>
      <w:t>4</w:t>
    </w:r>
    <w:r w:rsidRPr="006710E1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089D" w14:textId="77777777" w:rsidR="0057624D" w:rsidRDefault="0057624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E72305" w14:textId="77777777" w:rsidR="00DB4E4F" w:rsidRDefault="00DB4E4F">
      <w:r>
        <w:separator/>
      </w:r>
    </w:p>
  </w:footnote>
  <w:footnote w:type="continuationSeparator" w:id="0">
    <w:p w14:paraId="5DB025A7" w14:textId="77777777" w:rsidR="00DB4E4F" w:rsidRDefault="00DB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BC449A"/>
    <w:multiLevelType w:val="multilevel"/>
    <w:tmpl w:val="EF7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24D"/>
    <w:rsid w:val="001379BB"/>
    <w:rsid w:val="0027750B"/>
    <w:rsid w:val="00360C44"/>
    <w:rsid w:val="003A7097"/>
    <w:rsid w:val="003D2BCF"/>
    <w:rsid w:val="003F0058"/>
    <w:rsid w:val="0057624D"/>
    <w:rsid w:val="005C6D69"/>
    <w:rsid w:val="00601B27"/>
    <w:rsid w:val="0066335E"/>
    <w:rsid w:val="006710E1"/>
    <w:rsid w:val="006923A9"/>
    <w:rsid w:val="00B22B99"/>
    <w:rsid w:val="00B73D88"/>
    <w:rsid w:val="00BC2489"/>
    <w:rsid w:val="00BE171A"/>
    <w:rsid w:val="00BE2BBF"/>
    <w:rsid w:val="00BF038B"/>
    <w:rsid w:val="00C95A89"/>
    <w:rsid w:val="00DA6E39"/>
    <w:rsid w:val="00DA7C8F"/>
    <w:rsid w:val="00DB4E4F"/>
    <w:rsid w:val="00EC545E"/>
    <w:rsid w:val="00F404CE"/>
    <w:rsid w:val="00F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30CAE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1BB713DBE7A45B39A87A4AF58A2E5" ma:contentTypeVersion="11" ma:contentTypeDescription="Create a new document." ma:contentTypeScope="" ma:versionID="495c0deb7786921a9beb77a1b7bb6180">
  <xsd:schema xmlns:xsd="http://www.w3.org/2001/XMLSchema" xmlns:xs="http://www.w3.org/2001/XMLSchema" xmlns:p="http://schemas.microsoft.com/office/2006/metadata/properties" xmlns:ns2="441488c3-3dc3-4d9f-945d-f7134957c0f2" targetNamespace="http://schemas.microsoft.com/office/2006/metadata/properties" ma:root="true" ma:fieldsID="12cb83ed2874d43e884bfd73227868a9" ns2:_="">
    <xsd:import namespace="441488c3-3dc3-4d9f-945d-f713495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488c3-3dc3-4d9f-945d-f713495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41488c3-3dc3-4d9f-945d-f7134957c0f2" xsi:nil="true"/>
  </documentManagement>
</p:properties>
</file>

<file path=customXml/itemProps1.xml><?xml version="1.0" encoding="utf-8"?>
<ds:datastoreItem xmlns:ds="http://schemas.openxmlformats.org/officeDocument/2006/customXml" ds:itemID="{8D7FF2E8-E291-4440-BE4B-563ADF561275}"/>
</file>

<file path=customXml/itemProps2.xml><?xml version="1.0" encoding="utf-8"?>
<ds:datastoreItem xmlns:ds="http://schemas.openxmlformats.org/officeDocument/2006/customXml" ds:itemID="{6EB16072-0CD2-4FCD-8EF3-CC928CBDBC66}"/>
</file>

<file path=customXml/itemProps3.xml><?xml version="1.0" encoding="utf-8"?>
<ds:datastoreItem xmlns:ds="http://schemas.openxmlformats.org/officeDocument/2006/customXml" ds:itemID="{16CE88F1-84BD-41B1-A218-6695BBEEF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2237</Words>
  <Characters>12756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DTP008</dc:creator>
  <cp:lastModifiedBy>Malik</cp:lastModifiedBy>
  <cp:revision>3</cp:revision>
  <cp:lastPrinted>2020-09-23T13:06:00Z</cp:lastPrinted>
  <dcterms:created xsi:type="dcterms:W3CDTF">2020-09-23T13:06:00Z</dcterms:created>
  <dcterms:modified xsi:type="dcterms:W3CDTF">2020-09-23T13:06:00Z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0x010100CDE1BB713DBE7A45B39A87A4AF58A2E5</vt:lpwstr>
  </property>
</Properties>
</file>