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6F1E5E8" w14:textId="77777777" w:rsidR="0057624D" w:rsidRPr="00EE26B0" w:rsidRDefault="00086DA0" w:rsidP="008F1C82">
      <w:pPr>
        <w:rPr>
          <w:color w:val="FF0000"/>
          <w:sz w:val="70"/>
          <w:szCs w:val="70"/>
        </w:rPr>
      </w:pPr>
      <w:r w:rsidRPr="00EE26B0">
        <w:rPr>
          <w:b/>
          <w:i/>
          <w:iCs/>
          <w:color w:val="FF0000"/>
          <w:sz w:val="70"/>
          <w:szCs w:val="70"/>
        </w:rPr>
        <w:t>Συνοπτική έκδοση του εγγράφου:</w:t>
      </w:r>
      <w:r w:rsidRPr="00EE26B0">
        <w:rPr>
          <w:b/>
          <w:color w:val="FF0000"/>
          <w:sz w:val="70"/>
          <w:szCs w:val="70"/>
        </w:rPr>
        <w:t xml:space="preserve"> </w:t>
      </w:r>
      <w:r w:rsidR="008F1C82" w:rsidRPr="00EE26B0">
        <w:rPr>
          <w:b/>
          <w:color w:val="FF0000"/>
          <w:sz w:val="70"/>
          <w:szCs w:val="70"/>
        </w:rPr>
        <w:t>Snížení klinické a veřejné zdravotní zátěže spojené s familiární hypercholesterolemií</w:t>
      </w:r>
    </w:p>
    <w:p w14:paraId="390DF975" w14:textId="77777777" w:rsidR="00CE5D0E" w:rsidRPr="00EE26B0" w:rsidRDefault="00EE26B0" w:rsidP="00CE5D0E">
      <w:pPr>
        <w:spacing w:before="400"/>
        <w:rPr>
          <w:color w:val="FFFFFF" w:themeColor="background1"/>
          <w:sz w:val="75"/>
          <w:szCs w:val="75"/>
        </w:rPr>
      </w:pPr>
      <w:r w:rsidRPr="00EE26B0">
        <w:rPr>
          <w:color w:val="FFFFFF" w:themeColor="background1"/>
        </w:rPr>
        <w:pict w14:anchorId="0D07A8E4">
          <v:group id="_x0000_s1084" style="position:absolute;margin-left:0;margin-top:325.5pt;width:612pt;height:53.05pt;z-index:-251675648;mso-position-horizontal-relative:page;mso-position-vertical-relative:page" coordorigin=",5649" coordsize="12240,1061">
            <v:shape id="_x0000_s1085" style="position:absolute;top:5649;width:12240;height:1061" coordorigin=",5649" coordsize="12240,1061" path="m12240,6710l12240,5649,,5649,,6710,12240,6710xe" fillcolor="#7f7f7f [1612]" stroked="f">
              <v:path arrowok="t"/>
            </v:shape>
            <w10:wrap anchorx="page" anchory="page"/>
          </v:group>
        </w:pict>
      </w:r>
      <w:r w:rsidR="00CE5D0E" w:rsidRPr="00EE26B0">
        <w:rPr>
          <w:color w:val="FFFFFF" w:themeColor="background1"/>
          <w:sz w:val="75"/>
          <w:szCs w:val="75"/>
        </w:rPr>
        <w:t>Globální výzva k akci</w:t>
      </w:r>
    </w:p>
    <w:p w14:paraId="6827C0DD" w14:textId="77777777" w:rsidR="0057624D" w:rsidRPr="00EE26B0" w:rsidRDefault="0057624D" w:rsidP="008F1C82">
      <w:pPr>
        <w:spacing w:before="400"/>
        <w:rPr>
          <w:color w:val="FFFFFF" w:themeColor="background1"/>
          <w:sz w:val="75"/>
          <w:szCs w:val="75"/>
        </w:rPr>
      </w:pPr>
    </w:p>
    <w:p w14:paraId="581EC370" w14:textId="77777777" w:rsidR="0057624D" w:rsidRPr="00B22B99" w:rsidRDefault="0057624D" w:rsidP="00B22B99"/>
    <w:p w14:paraId="2F3C81C5" w14:textId="77777777" w:rsidR="0057624D" w:rsidRPr="00B22B99" w:rsidRDefault="0057624D" w:rsidP="00B22B99"/>
    <w:p w14:paraId="3F4B337D" w14:textId="77777777" w:rsidR="0057624D" w:rsidRPr="00B22B99" w:rsidRDefault="0057624D" w:rsidP="00B22B99"/>
    <w:p w14:paraId="430322D8" w14:textId="77777777" w:rsidR="0057624D" w:rsidRPr="00B22B99" w:rsidRDefault="0057624D" w:rsidP="00B22B99"/>
    <w:p w14:paraId="6A5C898A" w14:textId="77777777" w:rsidR="0057624D" w:rsidRPr="00B22B99" w:rsidRDefault="0057624D" w:rsidP="00B22B99"/>
    <w:p w14:paraId="7B156180" w14:textId="77777777" w:rsidR="0057624D" w:rsidRPr="00B22B99" w:rsidRDefault="0057624D" w:rsidP="00B22B99"/>
    <w:p w14:paraId="7E4A5AB1" w14:textId="77777777" w:rsidR="0057624D" w:rsidRPr="00B22B99" w:rsidRDefault="0057624D" w:rsidP="00B22B99"/>
    <w:p w14:paraId="0586276C" w14:textId="77777777" w:rsidR="0057624D" w:rsidRPr="00B22B99" w:rsidRDefault="0057624D" w:rsidP="00B22B99"/>
    <w:p w14:paraId="06A31C1A" w14:textId="77777777" w:rsidR="0057624D" w:rsidRPr="00B22B99" w:rsidRDefault="0057624D" w:rsidP="00B22B99"/>
    <w:p w14:paraId="3A79B7F6" w14:textId="77777777" w:rsidR="0057624D" w:rsidRPr="00B22B99" w:rsidRDefault="0057624D" w:rsidP="00B22B99"/>
    <w:p w14:paraId="6A9319C7" w14:textId="77777777" w:rsidR="0057624D" w:rsidRDefault="0057624D" w:rsidP="00B22B99"/>
    <w:p w14:paraId="2850D716" w14:textId="77777777" w:rsidR="006710E1" w:rsidRDefault="006710E1" w:rsidP="00B22B99"/>
    <w:p w14:paraId="40584122" w14:textId="77777777" w:rsidR="006710E1" w:rsidRDefault="006710E1" w:rsidP="00B22B99"/>
    <w:p w14:paraId="14C77C89" w14:textId="77777777" w:rsidR="006710E1" w:rsidRPr="006710E1" w:rsidRDefault="006710E1" w:rsidP="00B22B99"/>
    <w:p w14:paraId="44015CAD" w14:textId="77777777" w:rsidR="0057624D" w:rsidRPr="006710E1" w:rsidRDefault="0057624D" w:rsidP="006710E1">
      <w:pPr>
        <w:rPr>
          <w:sz w:val="16"/>
          <w:szCs w:val="16"/>
        </w:rPr>
      </w:pPr>
    </w:p>
    <w:p w14:paraId="034D2893" w14:textId="77777777" w:rsidR="0057624D" w:rsidRPr="00B22B99" w:rsidRDefault="0057624D" w:rsidP="00B22B99"/>
    <w:p w14:paraId="421A4D12" w14:textId="77777777" w:rsidR="0057624D" w:rsidRPr="00B22B99" w:rsidRDefault="0057624D" w:rsidP="00B22B99"/>
    <w:p w14:paraId="060B71D4" w14:textId="77777777" w:rsidR="0057624D" w:rsidRPr="00B22B99" w:rsidRDefault="0057624D" w:rsidP="00B22B99"/>
    <w:p w14:paraId="001A84AC" w14:textId="77777777" w:rsidR="0057624D" w:rsidRDefault="0057624D" w:rsidP="006710E1">
      <w:pPr>
        <w:ind w:right="4410"/>
        <w:jc w:val="right"/>
      </w:pPr>
    </w:p>
    <w:p w14:paraId="146065DF" w14:textId="77777777" w:rsidR="006710E1" w:rsidRPr="00B22B99" w:rsidRDefault="006710E1" w:rsidP="006710E1">
      <w:pPr>
        <w:jc w:val="right"/>
      </w:pPr>
    </w:p>
    <w:p w14:paraId="5130D602" w14:textId="77777777" w:rsidR="0057624D" w:rsidRPr="00B22B99" w:rsidRDefault="0057624D" w:rsidP="00B22B99">
      <w:pPr>
        <w:rPr>
          <w:sz w:val="14"/>
          <w:szCs w:val="14"/>
        </w:rPr>
        <w:sectPr w:rsidR="0057624D" w:rsidRPr="00B22B99" w:rsidSect="00B22B99">
          <w:pgSz w:w="12240" w:h="15840" w:code="1"/>
          <w:pgMar w:top="2880" w:right="720" w:bottom="504" w:left="720" w:header="720" w:footer="720" w:gutter="0"/>
          <w:cols w:space="720"/>
        </w:sectPr>
      </w:pPr>
    </w:p>
    <w:p w14:paraId="598EE332" w14:textId="77777777" w:rsidR="0057624D" w:rsidRPr="008F1C82" w:rsidRDefault="00EE26B0" w:rsidP="00CB0682">
      <w:pPr>
        <w:rPr>
          <w:rFonts w:ascii="Calibri" w:eastAsia="Calibri" w:hAnsi="Calibri" w:cs="Calibri"/>
          <w:sz w:val="21"/>
          <w:szCs w:val="21"/>
        </w:rPr>
      </w:pPr>
      <w:r>
        <w:rPr>
          <w:sz w:val="18"/>
          <w:szCs w:val="18"/>
        </w:rPr>
        <w:lastRenderedPageBreak/>
        <w:pict w14:anchorId="79E6E1C0">
          <v:group id="_x0000_s1074" style="position:absolute;margin-left:570.15pt;margin-top:635.3pt;width:1.65pt;height:1.2pt;z-index:-251672576;mso-position-horizontal-relative:page;mso-position-vertical-relative:page" coordorigin="11403,12706" coordsize="33,24">
            <v:shape id="_x0000_s1075" style="position:absolute;left:11403;top:12706;width:33;height:24" coordorigin="11403,12706" coordsize="33,24" path="m11429,12726l11436,12713,11430,12706,11424,12710,11415,12706,11404,12715,11403,12726,11415,12729,11429,12726xe" fillcolor="#f2f2f2" stroked="f">
              <v:path arrowok="t"/>
            </v:shape>
            <w10:wrap anchorx="page" anchory="page"/>
          </v:group>
        </w:pict>
      </w:r>
      <w:r w:rsidR="008F1C82" w:rsidRPr="008F1C82">
        <w:rPr>
          <w:rFonts w:ascii="Calibri" w:eastAsia="Calibri" w:hAnsi="Calibri" w:cs="Calibri"/>
          <w:color w:val="363435"/>
          <w:sz w:val="21"/>
          <w:szCs w:val="21"/>
        </w:rPr>
        <w:t xml:space="preserve">V říjnu 2018 Nadace pro familiární hypercholesterolemii (Familial Hypercholesterolemia Foundation, FH Foundation) </w:t>
      </w:r>
      <w:proofErr w:type="gramStart"/>
      <w:r w:rsidR="008F1C82" w:rsidRPr="008F1C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="008F1C82" w:rsidRPr="008F1C82">
        <w:rPr>
          <w:rFonts w:ascii="Calibri" w:eastAsia="Calibri" w:hAnsi="Calibri" w:cs="Calibri"/>
          <w:color w:val="363435"/>
          <w:sz w:val="21"/>
          <w:szCs w:val="21"/>
        </w:rPr>
        <w:t xml:space="preserve"> svém každoročním globálním summitu ocenila MUDr. Rogera Williamse, zakladatele tzv. </w:t>
      </w:r>
      <w:proofErr w:type="gramStart"/>
      <w:r w:rsidR="008F1C82" w:rsidRPr="008F1C82">
        <w:rPr>
          <w:rFonts w:ascii="Calibri" w:eastAsia="Calibri" w:hAnsi="Calibri" w:cs="Calibri"/>
          <w:color w:val="363435"/>
          <w:sz w:val="21"/>
          <w:szCs w:val="21"/>
        </w:rPr>
        <w:t>kaskádového</w:t>
      </w:r>
      <w:proofErr w:type="gramEnd"/>
      <w:r w:rsidR="008F1C82" w:rsidRPr="008F1C82">
        <w:rPr>
          <w:rFonts w:ascii="Calibri" w:eastAsia="Calibri" w:hAnsi="Calibri" w:cs="Calibri"/>
          <w:color w:val="363435"/>
          <w:sz w:val="21"/>
          <w:szCs w:val="21"/>
        </w:rPr>
        <w:t xml:space="preserve"> screeningu, spolu s připomínkou dvacátého výročí vydání Konzultace WHO k familiární hypercholesterolemii (FH), nejčastější genetické poruchy způsobující předčasné aterosklerotické kardiovaskulární onemocnění, a upozorněním na přetrvávající nedostatky v její identifikaci a péči o pacienty.</w:t>
      </w:r>
      <w:r w:rsidR="008F1C82" w:rsidRPr="008F1C82">
        <w:rPr>
          <w:rFonts w:ascii="Calibri" w:eastAsia="Calibri" w:hAnsi="Calibri" w:cs="Calibri"/>
          <w:color w:val="363435"/>
          <w:sz w:val="21"/>
          <w:szCs w:val="21"/>
          <w:vertAlign w:val="superscript"/>
        </w:rPr>
        <w:t>1</w:t>
      </w:r>
      <w:r w:rsidR="008F1C82" w:rsidRPr="008F1C82">
        <w:rPr>
          <w:rFonts w:ascii="Calibri" w:eastAsia="Calibri" w:hAnsi="Calibri" w:cs="Calibri"/>
          <w:color w:val="363435"/>
          <w:sz w:val="21"/>
          <w:szCs w:val="21"/>
        </w:rPr>
        <w:t xml:space="preserve"> FH, s celosvětovou prevalencí 1 : 220–250, způsobuje celoživotně zvýšené koncentrace LDL cholesterolu (LDL</w:t>
      </w:r>
      <w:r w:rsidR="00CB0682">
        <w:rPr>
          <w:rFonts w:ascii="Calibri" w:eastAsia="Calibri" w:hAnsi="Calibri" w:cs="Calibri"/>
          <w:color w:val="363435"/>
          <w:sz w:val="21"/>
          <w:szCs w:val="21"/>
        </w:rPr>
        <w:noBreakHyphen/>
      </w:r>
      <w:r w:rsidR="008F1C82" w:rsidRPr="008F1C82">
        <w:rPr>
          <w:rFonts w:ascii="Calibri" w:eastAsia="Calibri" w:hAnsi="Calibri" w:cs="Calibri"/>
          <w:color w:val="363435"/>
          <w:sz w:val="21"/>
          <w:szCs w:val="21"/>
        </w:rPr>
        <w:t>c). (2, 3) Bez léčby prodělá infarkt myokardu 50 % postižených mužů před dosažením věku 50 let a 30 % postižených žen před dosažením věku 60 let. FH má autozomální dominantní dědičnost, což znamená, že u rodiče s jedním genem způsobujícím FH existuje 50% pravděpodobnost, že tento gen přenese na svého potomka.</w:t>
      </w:r>
    </w:p>
    <w:p w14:paraId="59AEEABA" w14:textId="77777777" w:rsidR="006710E1" w:rsidRPr="00E15374" w:rsidRDefault="008F1C82" w:rsidP="008F1C82">
      <w:pPr>
        <w:spacing w:before="240"/>
        <w:rPr>
          <w:rFonts w:ascii="Calibri" w:eastAsia="Calibri" w:hAnsi="Calibri" w:cs="Calibri"/>
          <w:color w:val="363435"/>
          <w:spacing w:val="-2"/>
          <w:sz w:val="11"/>
          <w:szCs w:val="11"/>
        </w:rPr>
      </w:pPr>
      <w:r w:rsidRPr="00E15374">
        <w:rPr>
          <w:rFonts w:ascii="Calibri" w:eastAsia="Calibri" w:hAnsi="Calibri" w:cs="Calibri"/>
          <w:color w:val="363435"/>
          <w:spacing w:val="-2"/>
          <w:sz w:val="21"/>
          <w:szCs w:val="21"/>
        </w:rPr>
        <w:t xml:space="preserve">Od vydání Konzultace WHO v roce 1998 jsme dosáhli úctyhodných pokroků ve vědeckém pochopení dědičnosti FH i aterosklerózy srdce a vyvinuli léčivé přípravky snižující koncentrace cholesterolu, které pomáhají v prevenci infarktu. </w:t>
      </w:r>
      <w:proofErr w:type="gramStart"/>
      <w:r w:rsidRPr="00E15374">
        <w:rPr>
          <w:rFonts w:ascii="Calibri" w:eastAsia="Calibri" w:hAnsi="Calibri" w:cs="Calibri"/>
          <w:color w:val="363435"/>
          <w:spacing w:val="-2"/>
          <w:sz w:val="21"/>
          <w:szCs w:val="21"/>
        </w:rPr>
        <w:t>Mnohá z prozíravých doporučení formulovaných v Konzultaci WHO však dosud nebyla realizována, zejména v oblasti zvyšování povědomí o FH a vzdělávání laické i odborné lékařské veřejnosti.</w:t>
      </w:r>
      <w:proofErr w:type="gramEnd"/>
      <w:r w:rsidRPr="00E15374">
        <w:rPr>
          <w:rFonts w:ascii="Calibri" w:eastAsia="Calibri" w:hAnsi="Calibri" w:cs="Calibri"/>
          <w:color w:val="363435"/>
          <w:spacing w:val="-2"/>
          <w:sz w:val="21"/>
          <w:szCs w:val="21"/>
        </w:rPr>
        <w:t xml:space="preserve"> Významným důsledkem tohoto selhání jsou nedostatky týkající se stanovení diagnózy a léčby FH: přibližně 90 % z odhadovaných 34 milionů lidí s touto poruchou zůstává nediagnostikováno a mnoha ostatním se nedostává řádné léčby nebo u nich došlo k předčasnému infarktu myokardu či podstupují riziko náhlého úmrtí.</w:t>
      </w:r>
      <w:r w:rsidR="005C6D69" w:rsidRPr="00E15374">
        <w:rPr>
          <w:rFonts w:ascii="Calibri" w:eastAsia="Calibri" w:hAnsi="Calibri" w:cs="Calibri"/>
          <w:color w:val="363435"/>
          <w:spacing w:val="-2"/>
          <w:sz w:val="21"/>
          <w:szCs w:val="21"/>
          <w:vertAlign w:val="superscript"/>
        </w:rPr>
        <w:t>2</w:t>
      </w:r>
      <w:proofErr w:type="gramStart"/>
      <w:r w:rsidR="005C6D69" w:rsidRPr="00E15374">
        <w:rPr>
          <w:rFonts w:ascii="Calibri" w:eastAsia="Calibri" w:hAnsi="Calibri" w:cs="Calibri"/>
          <w:color w:val="363435"/>
          <w:spacing w:val="-2"/>
          <w:sz w:val="21"/>
          <w:szCs w:val="21"/>
          <w:vertAlign w:val="superscript"/>
        </w:rPr>
        <w:t>,3</w:t>
      </w:r>
      <w:proofErr w:type="gramEnd"/>
    </w:p>
    <w:p w14:paraId="266FBB30" w14:textId="77777777" w:rsidR="0057624D" w:rsidRPr="008F1C82" w:rsidRDefault="008F1C82" w:rsidP="008F1C82">
      <w:pPr>
        <w:spacing w:before="240"/>
        <w:rPr>
          <w:rFonts w:ascii="Calibri" w:eastAsia="Calibri" w:hAnsi="Calibri" w:cs="Calibri"/>
          <w:sz w:val="21"/>
          <w:szCs w:val="21"/>
        </w:rPr>
      </w:pPr>
      <w:r w:rsidRPr="008F1C82">
        <w:rPr>
          <w:rFonts w:ascii="Calibri" w:eastAsia="Calibri" w:hAnsi="Calibri" w:cs="Calibri"/>
          <w:color w:val="363435"/>
          <w:sz w:val="21"/>
          <w:szCs w:val="21"/>
        </w:rPr>
        <w:t xml:space="preserve">Od vydání zprávy WHO několik zemí vytvořilo úspěšné programy péče o osoby s FH a zdravotnické registry osob s FH a v celosvětovém měřítku vznikly skupiny </w:t>
      </w:r>
      <w:proofErr w:type="gramStart"/>
      <w:r w:rsidRPr="008F1C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8F1C82">
        <w:rPr>
          <w:rFonts w:ascii="Calibri" w:eastAsia="Calibri" w:hAnsi="Calibri" w:cs="Calibri"/>
          <w:color w:val="363435"/>
          <w:sz w:val="21"/>
          <w:szCs w:val="21"/>
        </w:rPr>
        <w:t xml:space="preserve"> podporu lidí trpících touto poruchou. </w:t>
      </w:r>
      <w:proofErr w:type="gramStart"/>
      <w:r w:rsidRPr="008F1C82">
        <w:rPr>
          <w:rFonts w:ascii="Calibri" w:eastAsia="Calibri" w:hAnsi="Calibri" w:cs="Calibri"/>
          <w:color w:val="363435"/>
          <w:sz w:val="21"/>
          <w:szCs w:val="21"/>
        </w:rPr>
        <w:t>Většina úspěšných iniciativ se neobešla bez státní podpory.</w:t>
      </w:r>
      <w:r w:rsidRPr="008F1C82">
        <w:rPr>
          <w:rFonts w:ascii="Calibri" w:eastAsia="Calibri" w:hAnsi="Calibri" w:cs="Calibri"/>
          <w:color w:val="363435"/>
          <w:sz w:val="21"/>
          <w:szCs w:val="21"/>
          <w:vertAlign w:val="superscript"/>
        </w:rPr>
        <w:t>4</w:t>
      </w:r>
      <w:r w:rsidRPr="008F1C82">
        <w:rPr>
          <w:rFonts w:ascii="Calibri" w:eastAsia="Calibri" w:hAnsi="Calibri" w:cs="Calibri"/>
          <w:color w:val="363435"/>
          <w:sz w:val="21"/>
          <w:szCs w:val="21"/>
        </w:rPr>
        <w:t xml:space="preserve"> Mezi příklady použitelné v dalších zemích patří zejména programy kaskádového genetického testování postižených příbuzných, sjednocené modely celoživotní péče o osoby s FH (zahrnující zdravotní, ošetřovatelskou a farmakologickou péči i genetické, výživové a psychologické poradenství) a důkazy podložené metodické pokyny pro péči o pacienty s FH vycházející z výzkumů nákladové efektivity.</w:t>
      </w:r>
      <w:proofErr w:type="gramEnd"/>
    </w:p>
    <w:p w14:paraId="276CDD35" w14:textId="77777777" w:rsidR="0057624D" w:rsidRPr="00B22B99" w:rsidRDefault="00DA7C8F" w:rsidP="00E15374">
      <w:pPr>
        <w:spacing w:before="36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96F6FDE" wp14:editId="33235551">
            <wp:extent cx="5936776" cy="3734233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callto.png"/>
                    <pic:cNvPicPr/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648" cy="37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F9A5" w14:textId="77777777" w:rsidR="0057624D" w:rsidRPr="00B22B99" w:rsidRDefault="00CB0682" w:rsidP="00CB0682">
      <w:pPr>
        <w:spacing w:before="240"/>
        <w:rPr>
          <w:rFonts w:ascii="Calibri" w:eastAsia="Calibri" w:hAnsi="Calibri" w:cs="Calibri"/>
          <w:sz w:val="13"/>
          <w:szCs w:val="13"/>
        </w:rPr>
      </w:pPr>
      <w:r w:rsidRPr="00CB0682">
        <w:rPr>
          <w:rFonts w:ascii="Calibri" w:eastAsia="Calibri" w:hAnsi="Calibri" w:cs="Calibri"/>
          <w:color w:val="363435"/>
          <w:sz w:val="21"/>
          <w:szCs w:val="21"/>
        </w:rPr>
        <w:lastRenderedPageBreak/>
        <w:t xml:space="preserve">Vzhledem k přetrvávající potřebě zvýšit povědomí o FH a šířit informace o pokrocích dosažených v této oblasti v celosvětovém měřítku, se Světová federace kardiologů (World Heart Federation, WHF) a Nadace pro FH (FH Foundation) spojily a sezvaly autory původní zprávy WHO, mezinárodní společenství pacientů s FH, organizace na jejich podporu, odborníky z řad lékařů a vědců a experty na veřejné zdraví, aby vytvořili nový soubor celosvětově platných doporučení pro strategii boje s FH. Původních 11 doporučení bylo přepracováno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9 nových tak, že odrážejí vědecký pokrok i překážky v péči o osoby s FH na základě poznatků získaných v uplynulých dvou desetiletích. Na iniciativě se podílelo čtyřicet zemí, jejichž zástupci se v roce 2018 sešli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Světovém summitu FH a Světové kardiologické konferenci a cestou online komunikace a pečlivé práce společně vytvořili níže uvedená doporučení. Cílem bylo vytvořit dokument, který by byl použitelný v zemích s vysokými, středně vysokými i nízkými příjmy ke zlepšení péče o osoby s FH.</w:t>
      </w:r>
      <w:r w:rsidR="005C6D69" w:rsidRPr="00CB0682">
        <w:rPr>
          <w:rFonts w:ascii="Calibri" w:eastAsia="Calibri" w:hAnsi="Calibri" w:cs="Calibri"/>
          <w:color w:val="363435"/>
          <w:sz w:val="21"/>
          <w:szCs w:val="21"/>
          <w:vertAlign w:val="superscript"/>
        </w:rPr>
        <w:t>4</w:t>
      </w:r>
    </w:p>
    <w:p w14:paraId="3A6BFC0B" w14:textId="77777777" w:rsidR="0057624D" w:rsidRPr="00EE26B0" w:rsidRDefault="00CB0682" w:rsidP="00CB0682">
      <w:pPr>
        <w:spacing w:before="660"/>
        <w:rPr>
          <w:color w:val="FF0000"/>
          <w:sz w:val="15"/>
          <w:szCs w:val="15"/>
        </w:rPr>
      </w:pPr>
      <w:r w:rsidRPr="00EE26B0">
        <w:rPr>
          <w:color w:val="FF0000"/>
          <w:sz w:val="26"/>
          <w:szCs w:val="26"/>
        </w:rPr>
        <w:t>DOPORUČENÍ GLOBÁLNÍ VÝZVY K AKCI</w:t>
      </w:r>
      <w:r w:rsidR="00DA7C8F" w:rsidRPr="00EE26B0">
        <w:rPr>
          <w:color w:val="FF0000"/>
          <w:sz w:val="26"/>
          <w:szCs w:val="26"/>
          <w:vertAlign w:val="superscript"/>
        </w:rPr>
        <w:t>4</w:t>
      </w:r>
    </w:p>
    <w:p w14:paraId="5BB10850" w14:textId="77777777" w:rsidR="0057624D" w:rsidRPr="00CB0682" w:rsidRDefault="00CB0682" w:rsidP="00DA7C8F">
      <w:pPr>
        <w:spacing w:before="240"/>
        <w:rPr>
          <w:rFonts w:asciiTheme="minorHAnsi" w:eastAsia="Century Gothic" w:hAnsiTheme="minorHAnsi" w:cstheme="minorHAnsi"/>
          <w:sz w:val="21"/>
          <w:szCs w:val="21"/>
        </w:rPr>
      </w:pPr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 xml:space="preserve">Vzhledem ke stávajícím nedostatkům v diagnostikování </w:t>
      </w:r>
      <w:proofErr w:type="gramStart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>a</w:t>
      </w:r>
      <w:proofErr w:type="gramEnd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 xml:space="preserve"> léčbě FH je prvním doporučením zvýšit informovanost o této poruše.</w:t>
      </w:r>
    </w:p>
    <w:p w14:paraId="3198C87E" w14:textId="77777777" w:rsidR="0057624D" w:rsidRPr="00B22B99" w:rsidRDefault="00CB0682" w:rsidP="00DA7C8F">
      <w:pPr>
        <w:spacing w:before="240"/>
        <w:rPr>
          <w:sz w:val="24"/>
          <w:szCs w:val="24"/>
        </w:rPr>
      </w:pPr>
      <w:r w:rsidRPr="00CB0682">
        <w:rPr>
          <w:color w:val="DC3639"/>
          <w:sz w:val="24"/>
          <w:szCs w:val="24"/>
        </w:rPr>
        <w:t>Informovanost</w:t>
      </w:r>
    </w:p>
    <w:p w14:paraId="4D506509" w14:textId="77777777" w:rsidR="0057624D" w:rsidRPr="00CB0682" w:rsidRDefault="00CB0682" w:rsidP="00DA7C8F">
      <w:pPr>
        <w:spacing w:before="120"/>
        <w:rPr>
          <w:rFonts w:ascii="Calibri" w:eastAsia="Calibri" w:hAnsi="Calibri" w:cs="Calibri"/>
          <w:sz w:val="21"/>
          <w:szCs w:val="21"/>
        </w:rPr>
      </w:pP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Je třeba zvýšit informovanost o významu a důsledcích FH a těžké hypercholesterolemie jakožto celosvětového problému veřejného zdraví.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Bez obecného povědomí o nutnosti rozpoznání a včasného zahájení léčby nebude možné snížit riziko aterosklerózy srdce u odhadovaných 34 milionů postižených.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Povědomí je třeba zvyšovat u různých skupin obyvatel včetně laické veřejnosti, vzdělávacích institucí (veřejných i zdravotnických), odborné lékařské veřejnosti (poskytovatelů primární i specializované péče) a systémů zdravotní péče.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Světový den povědomí o FH byl stanoven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24.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září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>.</w:t>
      </w:r>
    </w:p>
    <w:p w14:paraId="2040ED41" w14:textId="77777777" w:rsidR="0057624D" w:rsidRPr="00CB0682" w:rsidRDefault="00CB0682" w:rsidP="00DA7C8F">
      <w:pPr>
        <w:spacing w:before="480"/>
        <w:rPr>
          <w:rFonts w:asciiTheme="minorHAnsi" w:eastAsia="Century Gothic" w:hAnsiTheme="minorHAnsi" w:cstheme="minorHAnsi"/>
          <w:sz w:val="21"/>
          <w:szCs w:val="21"/>
        </w:rPr>
      </w:pPr>
      <w:proofErr w:type="gramStart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>V iniciativách usilujících o zlepšení péče o osoby s FH by měli hlavní roli zaujímat zainteresovaní odborníci.</w:t>
      </w:r>
      <w:proofErr w:type="gramEnd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 xml:space="preserve"> Tento úkol plní mnoho organizací </w:t>
      </w:r>
      <w:proofErr w:type="gramStart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>na</w:t>
      </w:r>
      <w:proofErr w:type="gramEnd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 xml:space="preserve"> podporu osob s FH sdružujících pacienty a odborníky na vědecké aspekty této poruchy.</w:t>
      </w:r>
    </w:p>
    <w:p w14:paraId="75DA8810" w14:textId="77777777" w:rsidR="0057624D" w:rsidRPr="00B22B99" w:rsidRDefault="00CB0682" w:rsidP="00DA7C8F">
      <w:pPr>
        <w:spacing w:before="240"/>
        <w:rPr>
          <w:sz w:val="24"/>
          <w:szCs w:val="24"/>
        </w:rPr>
      </w:pPr>
      <w:r w:rsidRPr="00CB0682">
        <w:rPr>
          <w:color w:val="DC3639"/>
          <w:sz w:val="24"/>
          <w:szCs w:val="24"/>
        </w:rPr>
        <w:t>Podpora</w:t>
      </w:r>
    </w:p>
    <w:p w14:paraId="5BA2C985" w14:textId="77777777" w:rsidR="0057624D" w:rsidRPr="00CB0682" w:rsidRDefault="00CB0682" w:rsidP="00DA7C8F">
      <w:pPr>
        <w:spacing w:before="120"/>
        <w:rPr>
          <w:rFonts w:ascii="Calibri" w:eastAsia="Calibri" w:hAnsi="Calibri" w:cs="Calibri"/>
          <w:sz w:val="21"/>
          <w:szCs w:val="21"/>
        </w:rPr>
      </w:pPr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Je naprosto nezbytné zakládat podpůrné organizace, které se zaměří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realizaci předkládaných doporučení v jednotlivých zemích a regionech. Organizace musí spojovat pacienty, lékaře a další zdravotníky, kteří se podílejí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péči. Jejich posláním by měla být osvěta a podpora pacientů, aby dosáhli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péči, kterou potřebují.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Pro každou zemi zvlášť je třeba vytvořit strategii, která zakládání organizací usnadní.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Základem musí být pochopení faktorů určujících podobu vládní politiky zdravotní péče, posouzení zdravotnických technologií, regulace pro lobbování u vlády, podpora, včetně boje proti genetické diskriminaci, komunikace a šíření informací a další nezbytné kroky bez ohledu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úroveň příjmů.</w:t>
      </w:r>
    </w:p>
    <w:p w14:paraId="0F19C8F6" w14:textId="77777777" w:rsidR="0057624D" w:rsidRPr="00CB0682" w:rsidRDefault="00CB0682" w:rsidP="00DA7C8F">
      <w:pPr>
        <w:spacing w:before="480"/>
        <w:rPr>
          <w:rFonts w:asciiTheme="minorHAnsi" w:eastAsia="Century Gothic" w:hAnsiTheme="minorHAnsi" w:cstheme="minorHAnsi"/>
          <w:sz w:val="21"/>
          <w:szCs w:val="21"/>
        </w:rPr>
      </w:pPr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 xml:space="preserve">Jako zdroj inspirace by měly sloužit stávající úspěšné modely pro identifikaci FH, včetně screeningu nových případů, a diagnostické přístupy založené </w:t>
      </w:r>
      <w:proofErr w:type="gramStart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>na</w:t>
      </w:r>
      <w:proofErr w:type="gramEnd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 xml:space="preserve"> genetickém testování nebo klinických kritériích.</w:t>
      </w:r>
    </w:p>
    <w:p w14:paraId="6B3F5071" w14:textId="77777777" w:rsidR="0057624D" w:rsidRPr="00B22B99" w:rsidRDefault="00CB0682" w:rsidP="00CB0682">
      <w:pPr>
        <w:spacing w:before="240"/>
        <w:rPr>
          <w:sz w:val="24"/>
          <w:szCs w:val="24"/>
        </w:rPr>
      </w:pPr>
      <w:r w:rsidRPr="00CB0682">
        <w:rPr>
          <w:color w:val="DC3639"/>
          <w:sz w:val="24"/>
          <w:szCs w:val="24"/>
        </w:rPr>
        <w:t>Screening, testování a diagnostika</w:t>
      </w:r>
    </w:p>
    <w:p w14:paraId="76FDFF66" w14:textId="77777777" w:rsidR="0057624D" w:rsidRPr="00CB0682" w:rsidRDefault="00CB0682" w:rsidP="00DA7C8F">
      <w:pPr>
        <w:spacing w:before="120"/>
        <w:rPr>
          <w:rFonts w:ascii="Calibri" w:eastAsia="Calibri" w:hAnsi="Calibri" w:cs="Calibri"/>
          <w:sz w:val="21"/>
          <w:szCs w:val="21"/>
        </w:rPr>
      </w:pPr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Screening FH by měl probíhat v souladu s metodickými pokyny a podmínkami v jednotlivých zemích. Screening může být založen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naměřené hodnotě cholesterolu (s cut-off hodnotami přizpůsobenými dané zemi nebo cílové populaci) nebo genetických testech pozitivních na poruchu LDL receptoru.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Efektivnější cestu představuje kombinace univerzálního screeningu dětí a rodičů a kaskádového testování příbuzných </w:t>
      </w:r>
      <w:r w:rsidRPr="00CB0682">
        <w:rPr>
          <w:rFonts w:ascii="Calibri" w:eastAsia="Calibri" w:hAnsi="Calibri" w:cs="Calibri"/>
          <w:color w:val="363435"/>
          <w:sz w:val="21"/>
          <w:szCs w:val="21"/>
        </w:rPr>
        <w:lastRenderedPageBreak/>
        <w:t>indexových případů v první a druhé linii.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Mnoho osob s FH splňuje fenotypová kritéria, z nichž je třeba vycházet v širokých screeningových programech, abychom v oblastech s omezenými zdroji mohli identifikovat osoby, které by z genetického testování profitovaly nejvíce. Zdroje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screening a diagnostiku v průběhu života a stratifikace rizika od raného dětství by měly být dostupné všem bez rozdílu a měly by zohledňovat nejlepší zájem dítěte stejně jako u dalších genetických onemocnění.</w:t>
      </w:r>
    </w:p>
    <w:p w14:paraId="093BF21B" w14:textId="77777777" w:rsidR="0057624D" w:rsidRPr="00CB0682" w:rsidRDefault="00CB0682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</w:pPr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 xml:space="preserve">Cíle léčby FH jsou založeny </w:t>
      </w:r>
      <w:proofErr w:type="gramStart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>na</w:t>
      </w:r>
      <w:proofErr w:type="gramEnd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 xml:space="preserve"> důkazu a jsou součástí metodických pokynů pro prevenci kardiovaskulárních onemocnění v celosvětovém měřítku. Zavádění cílů do praxe by se měli ujmout lékaři a spolupracující poskytovatelé zdravotní péče.</w:t>
      </w:r>
    </w:p>
    <w:p w14:paraId="5BC3A7A2" w14:textId="77777777" w:rsidR="0057624D" w:rsidRPr="00B22B99" w:rsidRDefault="00CB0682" w:rsidP="00DA7C8F">
      <w:pPr>
        <w:spacing w:before="240"/>
        <w:rPr>
          <w:sz w:val="24"/>
          <w:szCs w:val="24"/>
        </w:rPr>
      </w:pPr>
      <w:r w:rsidRPr="00CB0682">
        <w:rPr>
          <w:color w:val="DC3639"/>
          <w:sz w:val="24"/>
          <w:szCs w:val="24"/>
        </w:rPr>
        <w:t>Léčba</w:t>
      </w:r>
    </w:p>
    <w:p w14:paraId="7C02EA08" w14:textId="77777777" w:rsidR="0057624D" w:rsidRPr="00CB0682" w:rsidRDefault="00CB0682" w:rsidP="00DA7C8F">
      <w:pPr>
        <w:spacing w:before="120"/>
        <w:rPr>
          <w:rFonts w:ascii="Calibri" w:eastAsia="Calibri" w:hAnsi="Calibri" w:cs="Calibri"/>
          <w:sz w:val="21"/>
          <w:szCs w:val="21"/>
        </w:rPr>
      </w:pPr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Léčba FH zaměřená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prevenci předčasného rozvoje aterosklerózy srdce by měla být individuálně orientovaná a obecně i cenově dostupná.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V nejlepším případě by léčba měla začít už v dětství a pokračovat v průběhu pacientova života.</w:t>
      </w:r>
      <w:proofErr w:type="gramEnd"/>
    </w:p>
    <w:p w14:paraId="16D94299" w14:textId="77777777" w:rsidR="0057624D" w:rsidRPr="00CB0682" w:rsidRDefault="00CB0682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</w:pPr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 xml:space="preserve">Nejzávažnější formy FH u dospělých s hodnotami LDL-c &gt; </w:t>
      </w:r>
      <w:proofErr w:type="gramStart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>10 mmol/</w:t>
      </w:r>
      <w:proofErr w:type="gramEnd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 xml:space="preserve">l nebo 400 mg/dl způsobují morbiditu a mortalitu v raných fázích života a uvalují na rodiny těžké břímě. </w:t>
      </w:r>
      <w:proofErr w:type="gramStart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>Péči o tyto pacienty je tedy třeba financovat z oddělených zdrojů.</w:t>
      </w:r>
      <w:proofErr w:type="gramEnd"/>
    </w:p>
    <w:p w14:paraId="27DCADA4" w14:textId="77777777" w:rsidR="0057624D" w:rsidRPr="00B22B99" w:rsidRDefault="00CB0682" w:rsidP="00DA7C8F">
      <w:pPr>
        <w:spacing w:before="240" w:after="120"/>
        <w:rPr>
          <w:sz w:val="24"/>
          <w:szCs w:val="24"/>
        </w:rPr>
      </w:pPr>
      <w:r w:rsidRPr="00CB0682">
        <w:rPr>
          <w:color w:val="DC3639"/>
          <w:sz w:val="24"/>
          <w:szCs w:val="24"/>
        </w:rPr>
        <w:t>Závažná a homozygotní FH</w:t>
      </w:r>
    </w:p>
    <w:p w14:paraId="57FE400C" w14:textId="77777777" w:rsidR="0057624D" w:rsidRPr="00CB0682" w:rsidRDefault="00CB0682" w:rsidP="00BA67A7">
      <w:pPr>
        <w:rPr>
          <w:rFonts w:ascii="Calibri" w:eastAsia="Calibri" w:hAnsi="Calibri" w:cs="Calibri"/>
          <w:sz w:val="21"/>
          <w:szCs w:val="21"/>
        </w:rPr>
      </w:pPr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Pro závažnou a homozygotní FH, definovanou hladinou LDL cholesterolu </w:t>
      </w:r>
      <w:r w:rsidR="00BA67A7" w:rsidRPr="00BA67A7">
        <w:rPr>
          <w:rFonts w:ascii="Calibri" w:eastAsia="Calibri" w:hAnsi="Calibri" w:cs="Calibri"/>
          <w:color w:val="363435"/>
          <w:sz w:val="21"/>
          <w:szCs w:val="21"/>
        </w:rPr>
        <w:t>≥</w:t>
      </w:r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10 mmol/l (400 mg/dl) či patogenní variantou některého z genů spojených s FH na dvou různých alelách, je třeba vytvořit specifické metodické pokyny. Metodické pokyny by měly obsahovat strategie identifikace, genetické diagnostiky, diferenciální diagnostiky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lékařského managementu (jak sekundární aterosklerózy srdce, tak i onemocnění aortální chlopně). Pro zajištění optimální péče bude třeba založit specializovaná centra zaměřená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diagnostiku a management postižených jedinců.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Péče o osoby se závažnou a homozygotní FH by měla být garantována státem.</w:t>
      </w:r>
      <w:proofErr w:type="gramEnd"/>
    </w:p>
    <w:p w14:paraId="4FEBF389" w14:textId="77777777" w:rsidR="0057624D" w:rsidRPr="00CB0682" w:rsidRDefault="00CB0682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</w:pPr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 xml:space="preserve">Protože FH jakožto genetická choroba ovlivňuje životy celých generací a postiženým přináší různé obtíže v různých životních etapách, péče by měla být organizovaná </w:t>
      </w:r>
      <w:proofErr w:type="gramStart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>od</w:t>
      </w:r>
      <w:proofErr w:type="gramEnd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 xml:space="preserve"> dětství, přes dospělost až do pokročilého věku.</w:t>
      </w:r>
    </w:p>
    <w:p w14:paraId="29EAAD2E" w14:textId="77777777" w:rsidR="0057624D" w:rsidRPr="00B22B99" w:rsidRDefault="00CB0682" w:rsidP="00DA7C8F">
      <w:pPr>
        <w:spacing w:before="240" w:after="120"/>
        <w:rPr>
          <w:sz w:val="24"/>
          <w:szCs w:val="24"/>
        </w:rPr>
      </w:pPr>
      <w:r w:rsidRPr="00CB0682">
        <w:rPr>
          <w:color w:val="DC3639"/>
          <w:sz w:val="24"/>
          <w:szCs w:val="24"/>
        </w:rPr>
        <w:t xml:space="preserve">Péče zaměřená </w:t>
      </w:r>
      <w:proofErr w:type="gramStart"/>
      <w:r w:rsidRPr="00CB0682">
        <w:rPr>
          <w:color w:val="DC3639"/>
          <w:sz w:val="24"/>
          <w:szCs w:val="24"/>
        </w:rPr>
        <w:t>na</w:t>
      </w:r>
      <w:proofErr w:type="gramEnd"/>
      <w:r w:rsidRPr="00CB0682">
        <w:rPr>
          <w:color w:val="DC3639"/>
          <w:sz w:val="24"/>
          <w:szCs w:val="24"/>
        </w:rPr>
        <w:t xml:space="preserve"> rodinu</w:t>
      </w:r>
    </w:p>
    <w:p w14:paraId="2B029275" w14:textId="77777777" w:rsidR="0057624D" w:rsidRPr="00CB0682" w:rsidRDefault="00CB0682" w:rsidP="00B22B99">
      <w:pPr>
        <w:rPr>
          <w:rFonts w:ascii="Calibri" w:eastAsia="Calibri" w:hAnsi="Calibri" w:cs="Calibri"/>
          <w:sz w:val="21"/>
          <w:szCs w:val="21"/>
        </w:rPr>
      </w:pPr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Je třeba vyvinout plán péče zaměřený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rodinu umožňující zapojení pacientů a sdílené rozhodování v průběhu celého jejich života. Realizace modelů péče by měla být založena na integraci primární a sekundární péče, screeningu členů rodiny, genetickém poradenství, sociální podpoře, práci komunitních poskytovatelů zdravotní péče a zdrojích odpovídajících stadiu vývoje postiženého jedince (dětství, těhotenství, dospělost, management morbidit, podpora v truchlení).</w:t>
      </w:r>
    </w:p>
    <w:p w14:paraId="1CB956B1" w14:textId="77777777" w:rsidR="0057624D" w:rsidRPr="00CB0682" w:rsidRDefault="00CB0682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</w:pPr>
      <w:proofErr w:type="gramStart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>Registry FH nabízejí důležité informace o historii FH včetně povědomí o ní, léčebných úspěších a výsledcích pro pacienty.</w:t>
      </w:r>
      <w:proofErr w:type="gramEnd"/>
    </w:p>
    <w:p w14:paraId="0D3F8305" w14:textId="77777777" w:rsidR="0057624D" w:rsidRPr="00B22B99" w:rsidRDefault="00CB0682" w:rsidP="00DA7C8F">
      <w:pPr>
        <w:spacing w:before="240" w:after="120"/>
        <w:rPr>
          <w:sz w:val="24"/>
          <w:szCs w:val="24"/>
        </w:rPr>
      </w:pPr>
      <w:r w:rsidRPr="00CB0682">
        <w:rPr>
          <w:color w:val="DC3639"/>
          <w:sz w:val="24"/>
          <w:szCs w:val="24"/>
        </w:rPr>
        <w:t>Registry</w:t>
      </w:r>
    </w:p>
    <w:p w14:paraId="58920B91" w14:textId="77777777" w:rsidR="0057624D" w:rsidRPr="00CB0682" w:rsidRDefault="00CB0682" w:rsidP="00DA7C8F">
      <w:pPr>
        <w:rPr>
          <w:rFonts w:ascii="Calibri" w:eastAsia="Calibri" w:hAnsi="Calibri" w:cs="Calibri"/>
          <w:sz w:val="21"/>
          <w:szCs w:val="21"/>
        </w:rPr>
      </w:pP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Finanční podpora národních a mezinárodních registrů FH je naprosto nezbytná pro kvantifikaci současné praxe, identifikaci diskrepancí mezi metodickými pokyny a skutečně poskytnutou péčí, publikaci metrik </w:t>
      </w:r>
      <w:r w:rsidRPr="00CB0682">
        <w:rPr>
          <w:rFonts w:ascii="Calibri" w:eastAsia="Calibri" w:hAnsi="Calibri" w:cs="Calibri"/>
          <w:color w:val="363435"/>
          <w:sz w:val="21"/>
          <w:szCs w:val="21"/>
        </w:rPr>
        <w:lastRenderedPageBreak/>
        <w:t>výsledků pro monitorování a standardizaci péče, identifikaci oblastí pro uplatnění zdrojů, definování nejlepší praxe a její rozšíření a lepší informovanost o FH a dostupnosti screeningu.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Pokud lze uvedené zrealizovat, měli bychom zvážit přístup zaměřený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pacienta, který představují například pacientské platformy usnadňující ukládání dat a vzdělávání.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Poskytovatelé péče, podpůrné organizace, zpracovatelé dat i další, kdo s nimi nakládají, by měli zajistit ochranu osobních údajů a důvěrnost informací.</w:t>
      </w:r>
      <w:proofErr w:type="gramEnd"/>
    </w:p>
    <w:p w14:paraId="75D28EB7" w14:textId="77777777" w:rsidR="0057624D" w:rsidRPr="00CB0682" w:rsidRDefault="00CB0682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</w:pPr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>O FH se musíme ještě hodně naučit, nejen pokud se jedná o pokroky ve vědě a medicíně, ale také v oblasti identifikace nejlepších možností zlepšování péče o osoby s FH v různých systémech zdravotní péče po celém světě.</w:t>
      </w:r>
    </w:p>
    <w:p w14:paraId="29BA08E7" w14:textId="77777777" w:rsidR="0057624D" w:rsidRPr="00B22B99" w:rsidRDefault="00CB0682" w:rsidP="00DA7C8F">
      <w:pPr>
        <w:spacing w:before="240" w:after="120"/>
        <w:rPr>
          <w:sz w:val="24"/>
          <w:szCs w:val="24"/>
        </w:rPr>
      </w:pPr>
      <w:r w:rsidRPr="00CB0682">
        <w:rPr>
          <w:color w:val="DC3639"/>
          <w:sz w:val="24"/>
          <w:szCs w:val="24"/>
        </w:rPr>
        <w:t>Výzkum</w:t>
      </w:r>
    </w:p>
    <w:p w14:paraId="60F45AA9" w14:textId="77777777" w:rsidR="0057624D" w:rsidRPr="00CB0682" w:rsidRDefault="00CB0682" w:rsidP="00B22B99">
      <w:pPr>
        <w:rPr>
          <w:rFonts w:ascii="Calibri" w:eastAsia="Calibri" w:hAnsi="Calibri" w:cs="Calibri"/>
          <w:sz w:val="21"/>
          <w:szCs w:val="21"/>
        </w:rPr>
      </w:pPr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Je nutné podporovat financování výzkumu genetických a environmentálních faktorů ovlivňujících expresi dědičných poruch lipidového metabolismu, jejich historie, rozvoje aterosklerózy, intervencí pro zastavení její progrese, stratifikace rizika a farmakologie, bezpečnosti a efektivity nových léčivých přípravků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snížení koncentrací lipidů.</w:t>
      </w:r>
    </w:p>
    <w:p w14:paraId="1946EFF2" w14:textId="77777777" w:rsidR="0057624D" w:rsidRPr="00CB0682" w:rsidRDefault="00CB0682" w:rsidP="00DA7C8F">
      <w:pPr>
        <w:spacing w:before="120"/>
        <w:rPr>
          <w:rFonts w:ascii="Calibri" w:eastAsia="Calibri" w:hAnsi="Calibri" w:cs="Calibri"/>
          <w:sz w:val="21"/>
          <w:szCs w:val="21"/>
        </w:rPr>
      </w:pPr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Zdroje by měly být směřovány přímo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implementaci vhodných strategií schopných zajistit optimální, cenově dostupnou a přijatelnou jednotnou zdravotní péči, integrovatelnou do místních systémů. Odborníci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tuto problematiku by se měli zaměřit na poskytování zdravotní péče, přičemž budou vycházet z existujících metodických pokynů a budou je aplikovat na několika úrovních: vláda, společnost jako celek, infrastruktura zdravotní péče a interakce pacient-lékař.</w:t>
      </w:r>
    </w:p>
    <w:p w14:paraId="516FD5A1" w14:textId="77777777" w:rsidR="0057624D" w:rsidRPr="00CB0682" w:rsidRDefault="00CB0682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</w:pPr>
      <w:proofErr w:type="gramStart"/>
      <w:r w:rsidRPr="00CB0682">
        <w:rPr>
          <w:rFonts w:asciiTheme="minorHAnsi" w:eastAsia="Century Gothic" w:hAnsiTheme="minorHAnsi" w:cstheme="minorHAnsi"/>
          <w:b/>
          <w:i/>
          <w:color w:val="363435"/>
          <w:sz w:val="21"/>
          <w:szCs w:val="21"/>
        </w:rPr>
        <w:t>Péče o jedince s FH musí být cenově dostupná a hodnotná pro všechny zainteresované subjekty.</w:t>
      </w:r>
      <w:proofErr w:type="gramEnd"/>
    </w:p>
    <w:p w14:paraId="4A635C9A" w14:textId="77777777" w:rsidR="0057624D" w:rsidRPr="00B22B99" w:rsidRDefault="00CB0682" w:rsidP="00CB0682">
      <w:pPr>
        <w:spacing w:before="240" w:after="120"/>
        <w:rPr>
          <w:sz w:val="24"/>
          <w:szCs w:val="24"/>
        </w:rPr>
      </w:pPr>
      <w:r w:rsidRPr="00CB0682">
        <w:rPr>
          <w:color w:val="DC3639"/>
          <w:sz w:val="24"/>
          <w:szCs w:val="24"/>
        </w:rPr>
        <w:t>Cena/hodnota</w:t>
      </w:r>
    </w:p>
    <w:p w14:paraId="60E454FD" w14:textId="77777777" w:rsidR="0057624D" w:rsidRPr="00CB0682" w:rsidRDefault="00CB0682" w:rsidP="00B22B99">
      <w:pPr>
        <w:rPr>
          <w:rFonts w:ascii="Calibri" w:eastAsia="Calibri" w:hAnsi="Calibri" w:cs="Calibri"/>
          <w:sz w:val="21"/>
          <w:szCs w:val="21"/>
        </w:rPr>
      </w:pP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Pochopení hodnoty v péči o osoby s FH, jak pro postižené rodiny, tak pro společnost, je velmi důležité.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Sem patří například získané roky očekávaného dožití, získané roky života bez invalidity nebo naopak ztráta produktivity.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Zdravotnicko-ekonomické modely zaměřené specificky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FH (nástroj k posuzování zdravotnických technologií, Health Technology Assessment Tool) nám mohou pomoci posoudit hodnotu intervencí.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Modely by měly být dostatečně flexibilní, aby byly použitelné v každé zemi s přihlédnutím k lokálnímu kontextu.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Ideálem je model umožňující výpočet let života upravených jeho kvalitou (quality adjusted life-years, QALY) nebo další přijatelné metriky.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Modely by měly zohledňovat časové změny charakteristik, jako je cena léčivého přípravku a testování.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Komponenty modelu by měly zahrnovat prevalenci, přístup ke screeningu (typ testování), náklady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na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léčbu, včetně jednorázových příhod, a plátce. Je-li to namístě, součástí by měla být také kvantifikace nákladů ušetřených díky prevenci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a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identifikaci dříve neléčených jedinců z kaskádového testování.</w:t>
      </w:r>
    </w:p>
    <w:p w14:paraId="329D4DF8" w14:textId="77777777" w:rsidR="0057624D" w:rsidRPr="00B22B99" w:rsidRDefault="00CB0682" w:rsidP="00DA7C8F">
      <w:pPr>
        <w:spacing w:before="720"/>
        <w:rPr>
          <w:sz w:val="26"/>
          <w:szCs w:val="26"/>
        </w:rPr>
      </w:pPr>
      <w:r w:rsidRPr="00CB0682">
        <w:rPr>
          <w:color w:val="095489"/>
          <w:sz w:val="26"/>
          <w:szCs w:val="26"/>
        </w:rPr>
        <w:t>Souhrn</w:t>
      </w:r>
    </w:p>
    <w:p w14:paraId="57C4F7B0" w14:textId="77777777" w:rsidR="0057624D" w:rsidRPr="00CB0682" w:rsidRDefault="00CB0682" w:rsidP="00DA7C8F">
      <w:pPr>
        <w:spacing w:before="240"/>
        <w:rPr>
          <w:rFonts w:ascii="Calibri" w:eastAsia="Calibri" w:hAnsi="Calibri" w:cs="Calibri"/>
          <w:sz w:val="21"/>
          <w:szCs w:val="21"/>
        </w:rPr>
        <w:sectPr w:rsidR="0057624D" w:rsidRPr="00CB0682" w:rsidSect="00DA7C8F">
          <w:footerReference w:type="default" r:id="rId9"/>
          <w:pgSz w:w="12240" w:h="15840" w:code="1"/>
          <w:pgMar w:top="1440" w:right="1440" w:bottom="1440" w:left="1440" w:header="0" w:footer="720" w:gutter="0"/>
          <w:pgNumType w:start="1"/>
          <w:cols w:space="720"/>
        </w:sectPr>
      </w:pP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Mezinárodní komunita pro familiární hypercholesterolemii usiluje o to, aby tato globální výzva k akci byla uvedena do praxe v jednotlivých zemích světa.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Dokument se může uplatnit při stanovování lokálních cílů a vytváření metrik pro zlepšení péče o postižené jedince a předcházení infarktům po celém světě.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FH historicky sloužila jako modelová porucha, která nám pomohla lépe pochopit příčiny onemocnění srdce a nalézt preventivní možnosti léčby, což vedlo ke snížení počtu lidí postižených následky infarktu.</w:t>
      </w:r>
      <w:proofErr w:type="gramEnd"/>
      <w:r w:rsidRPr="00CB0682">
        <w:rPr>
          <w:rFonts w:ascii="Calibri" w:eastAsia="Calibri" w:hAnsi="Calibri" w:cs="Calibri"/>
          <w:color w:val="363435"/>
          <w:sz w:val="21"/>
          <w:szCs w:val="21"/>
        </w:rPr>
        <w:t xml:space="preserve"> </w:t>
      </w:r>
      <w:proofErr w:type="gramStart"/>
      <w:r w:rsidRPr="00CB0682">
        <w:rPr>
          <w:rFonts w:ascii="Calibri" w:eastAsia="Calibri" w:hAnsi="Calibri" w:cs="Calibri"/>
          <w:color w:val="363435"/>
          <w:sz w:val="21"/>
          <w:szCs w:val="21"/>
        </w:rPr>
        <w:t>Pokud bude tato globální iniciativa úspěšná, můžeme dosáhnout cíle přesné medicíny, kterým je uplatnění genetických nástrojů k záchraně lidských životů.</w:t>
      </w:r>
      <w:proofErr w:type="gramEnd"/>
    </w:p>
    <w:p w14:paraId="3A5EF78D" w14:textId="77777777" w:rsidR="006923A9" w:rsidRPr="004C3871" w:rsidRDefault="00CB0682" w:rsidP="00CB0682">
      <w:pPr>
        <w:spacing w:after="240"/>
        <w:ind w:left="187" w:hanging="187"/>
        <w:rPr>
          <w:sz w:val="24"/>
          <w:szCs w:val="24"/>
        </w:rPr>
      </w:pPr>
      <w:r w:rsidRPr="00CB0682">
        <w:rPr>
          <w:sz w:val="24"/>
          <w:szCs w:val="24"/>
        </w:rPr>
        <w:lastRenderedPageBreak/>
        <w:t>LITERATURA</w:t>
      </w:r>
    </w:p>
    <w:p w14:paraId="684BA32D" w14:textId="77777777" w:rsidR="00DA7C8F" w:rsidRPr="006923A9" w:rsidRDefault="005C6D69" w:rsidP="00CB0682">
      <w:pPr>
        <w:ind w:left="180" w:hanging="180"/>
        <w:rPr>
          <w:color w:val="363435"/>
        </w:rPr>
      </w:pPr>
      <w:r w:rsidRPr="006923A9">
        <w:rPr>
          <w:color w:val="363435"/>
          <w:vertAlign w:val="superscript"/>
        </w:rPr>
        <w:t>1</w:t>
      </w:r>
      <w:r w:rsidR="00DA7C8F" w:rsidRPr="006923A9">
        <w:rPr>
          <w:color w:val="363435"/>
        </w:rPr>
        <w:tab/>
      </w:r>
      <w:r w:rsidR="00CB0682" w:rsidRPr="00CB0682">
        <w:rPr>
          <w:color w:val="363435"/>
        </w:rPr>
        <w:t xml:space="preserve">Familial Hyperchcolesterolemia [FH]: Report of a WHO Consultation. </w:t>
      </w:r>
      <w:proofErr w:type="gramStart"/>
      <w:r w:rsidR="00CB0682" w:rsidRPr="00CB0682">
        <w:rPr>
          <w:color w:val="363435"/>
        </w:rPr>
        <w:t>World Health Organization, Human Genetics Programme, Division of Noncommunicable Diseases.</w:t>
      </w:r>
      <w:proofErr w:type="gramEnd"/>
      <w:r w:rsidR="00CB0682" w:rsidRPr="00CB0682">
        <w:rPr>
          <w:color w:val="363435"/>
        </w:rPr>
        <w:t xml:space="preserve"> WHO/HGN/FH/CONS/98.7. Geneva, 1998</w:t>
      </w:r>
    </w:p>
    <w:p w14:paraId="38BFF613" w14:textId="77777777" w:rsidR="00DA7C8F" w:rsidRPr="006923A9" w:rsidRDefault="005C6D69" w:rsidP="00CB0682">
      <w:pPr>
        <w:spacing w:before="280"/>
        <w:ind w:left="187" w:hanging="187"/>
        <w:rPr>
          <w:color w:val="363435"/>
        </w:rPr>
      </w:pPr>
      <w:r w:rsidRPr="006923A9">
        <w:rPr>
          <w:color w:val="363435"/>
          <w:vertAlign w:val="superscript"/>
        </w:rPr>
        <w:t>2</w:t>
      </w:r>
      <w:r w:rsidR="00DA7C8F" w:rsidRPr="006923A9">
        <w:rPr>
          <w:color w:val="363435"/>
        </w:rPr>
        <w:tab/>
      </w:r>
      <w:r w:rsidR="00CB0682" w:rsidRPr="00CB0682">
        <w:rPr>
          <w:color w:val="363435"/>
        </w:rPr>
        <w:t xml:space="preserve">Gidding SS, Champagne MA, de Ferranti SD, et al. </w:t>
      </w:r>
      <w:proofErr w:type="gramStart"/>
      <w:r w:rsidR="00CB0682" w:rsidRPr="00CB0682">
        <w:rPr>
          <w:color w:val="363435"/>
        </w:rPr>
        <w:t>The Agenda for Familial Hypercholesterolemia A Scientific Statement From the American Heart Association.</w:t>
      </w:r>
      <w:proofErr w:type="gramEnd"/>
      <w:r w:rsidR="00CB0682" w:rsidRPr="00CB0682">
        <w:rPr>
          <w:color w:val="363435"/>
        </w:rPr>
        <w:t xml:space="preserve"> Circulation. 2015; 132(22): 2167–92</w:t>
      </w:r>
    </w:p>
    <w:p w14:paraId="375012FD" w14:textId="77777777" w:rsidR="00DA7C8F" w:rsidRPr="006923A9" w:rsidRDefault="005C6D69" w:rsidP="00CB0682">
      <w:pPr>
        <w:spacing w:before="280"/>
        <w:ind w:left="187" w:hanging="187"/>
        <w:rPr>
          <w:color w:val="363435"/>
        </w:rPr>
      </w:pPr>
      <w:r w:rsidRPr="006923A9">
        <w:rPr>
          <w:color w:val="363435"/>
          <w:vertAlign w:val="superscript"/>
        </w:rPr>
        <w:t>3</w:t>
      </w:r>
      <w:r w:rsidR="00DA7C8F" w:rsidRPr="006923A9">
        <w:rPr>
          <w:color w:val="363435"/>
        </w:rPr>
        <w:tab/>
      </w:r>
      <w:r w:rsidR="00CB0682" w:rsidRPr="00CB0682">
        <w:rPr>
          <w:color w:val="363435"/>
          <w:lang w:val="en-IN"/>
        </w:rPr>
        <w:t>Nordestgaard BG, Chapman MJ, Humphries SE, et al. Familial hypercholesterolaemia is underdiagnosed and undertreated in the general population: guidance for clinicians to prevent coronary heart disease: consensus statement of the European Atherosclerosis Society. Eur Heart J. 2013; 34(45): 3478–90(a).</w:t>
      </w:r>
    </w:p>
    <w:p w14:paraId="15F556D2" w14:textId="77777777" w:rsidR="00DA7C8F" w:rsidRDefault="005C6D69" w:rsidP="00CB0682">
      <w:pPr>
        <w:spacing w:before="280"/>
        <w:ind w:left="187" w:hanging="187"/>
      </w:pPr>
      <w:r w:rsidRPr="006923A9">
        <w:rPr>
          <w:color w:val="363435"/>
          <w:vertAlign w:val="superscript"/>
        </w:rPr>
        <w:t>4</w:t>
      </w:r>
      <w:r w:rsidR="00DA7C8F" w:rsidRPr="006923A9">
        <w:rPr>
          <w:color w:val="363435"/>
        </w:rPr>
        <w:tab/>
      </w:r>
      <w:r w:rsidR="00CB0682" w:rsidRPr="00CB0682">
        <w:rPr>
          <w:color w:val="363435"/>
        </w:rPr>
        <w:t xml:space="preserve">Representatives of the Global Familial Hypercholesterolemia Community (Gidding SS, last author). </w:t>
      </w:r>
      <w:proofErr w:type="gramStart"/>
      <w:r w:rsidR="00CB0682" w:rsidRPr="00CB0682">
        <w:rPr>
          <w:color w:val="363435"/>
        </w:rPr>
        <w:t>Reducing the Clinical and Public Health Burden of Familial Hypercholesterolemia.</w:t>
      </w:r>
      <w:proofErr w:type="gramEnd"/>
      <w:r w:rsidR="00CB0682" w:rsidRPr="00CB0682">
        <w:rPr>
          <w:color w:val="363435"/>
        </w:rPr>
        <w:t xml:space="preserve"> JAMA Cardiol. 2020: epub ahead of print</w:t>
      </w:r>
    </w:p>
    <w:p w14:paraId="001060C7" w14:textId="77777777" w:rsidR="00EE26B0" w:rsidRDefault="00EE26B0" w:rsidP="00CB0682">
      <w:pPr>
        <w:spacing w:before="280"/>
        <w:ind w:left="187" w:hanging="187"/>
      </w:pPr>
    </w:p>
    <w:p w14:paraId="0F5D6566" w14:textId="77777777" w:rsidR="00EE26B0" w:rsidRPr="006923A9" w:rsidRDefault="00EE26B0" w:rsidP="00CB0682">
      <w:pPr>
        <w:spacing w:before="280"/>
        <w:ind w:left="187" w:hanging="187"/>
      </w:pPr>
      <w:r>
        <w:rPr>
          <w:noProof/>
        </w:rPr>
        <w:drawing>
          <wp:inline distT="0" distB="0" distL="0" distR="0" wp14:anchorId="6D8CCAB5" wp14:editId="4D496A21">
            <wp:extent cx="5943600" cy="4203700"/>
            <wp:effectExtent l="0" t="0" r="0" b="0"/>
            <wp:docPr id="1" name="Picture 1" descr="Macintosh HD:Users:malik:Downloads:FH Contribu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ik:Downloads:FH Contributo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6B0" w:rsidRPr="006923A9" w:rsidSect="00DA7C8F">
      <w:footerReference w:type="default" r:id="rId11"/>
      <w:pgSz w:w="12240" w:h="15840" w:code="1"/>
      <w:pgMar w:top="1584" w:right="1440" w:bottom="576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F8EBF2" w14:textId="77777777" w:rsidR="00B1506D" w:rsidRDefault="00B1506D">
      <w:r>
        <w:separator/>
      </w:r>
    </w:p>
  </w:endnote>
  <w:endnote w:type="continuationSeparator" w:id="0">
    <w:p w14:paraId="552E641C" w14:textId="77777777" w:rsidR="00B1506D" w:rsidRDefault="00B1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827EC" w14:textId="77777777" w:rsidR="006710E1" w:rsidRPr="006710E1" w:rsidRDefault="006710E1" w:rsidP="006710E1">
    <w:pPr>
      <w:tabs>
        <w:tab w:val="right" w:pos="10080"/>
      </w:tabs>
      <w:ind w:left="-720" w:right="-720"/>
      <w:rPr>
        <w:sz w:val="16"/>
        <w:szCs w:val="16"/>
      </w:rPr>
    </w:pPr>
    <w:r w:rsidRPr="006710E1">
      <w:fldChar w:fldCharType="begin"/>
    </w:r>
    <w:r w:rsidRPr="006710E1">
      <w:rPr>
        <w:color w:val="363435"/>
        <w:sz w:val="16"/>
        <w:szCs w:val="16"/>
      </w:rPr>
      <w:instrText xml:space="preserve"> PAGE </w:instrText>
    </w:r>
    <w:r w:rsidRPr="006710E1">
      <w:fldChar w:fldCharType="separate"/>
    </w:r>
    <w:r w:rsidR="00EE26B0">
      <w:rPr>
        <w:noProof/>
        <w:color w:val="363435"/>
        <w:sz w:val="16"/>
        <w:szCs w:val="16"/>
      </w:rPr>
      <w:t>4</w:t>
    </w:r>
    <w:r w:rsidRPr="006710E1">
      <w:fldChar w:fldCharType="end"/>
    </w:r>
    <w:r>
      <w:rPr>
        <w:color w:val="363435"/>
        <w:sz w:val="16"/>
        <w:szCs w:val="16"/>
      </w:rPr>
      <w:t> </w:t>
    </w:r>
    <w:r w:rsidRPr="006710E1">
      <w:rPr>
        <w:color w:val="363435"/>
        <w:sz w:val="16"/>
        <w:szCs w:val="16"/>
      </w:rPr>
      <w:t>|</w:t>
    </w:r>
    <w:r>
      <w:rPr>
        <w:color w:val="363435"/>
        <w:sz w:val="16"/>
        <w:szCs w:val="16"/>
      </w:rPr>
      <w:t> </w:t>
    </w:r>
    <w:r w:rsidRPr="006710E1">
      <w:rPr>
        <w:color w:val="363435"/>
        <w:sz w:val="16"/>
        <w:szCs w:val="16"/>
      </w:rPr>
      <w:t>A GLOBAL CALL TO ACTION</w:t>
    </w:r>
    <w:r>
      <w:rPr>
        <w:color w:val="363435"/>
        <w:sz w:val="16"/>
        <w:szCs w:val="16"/>
      </w:rPr>
      <w:tab/>
    </w:r>
    <w:r w:rsidRPr="006710E1">
      <w:rPr>
        <w:color w:val="363435"/>
        <w:sz w:val="16"/>
        <w:szCs w:val="16"/>
      </w:rPr>
      <w:t>A GLOBAL CALL TO ACTION</w:t>
    </w:r>
    <w:r>
      <w:rPr>
        <w:color w:val="363435"/>
        <w:sz w:val="16"/>
        <w:szCs w:val="16"/>
      </w:rPr>
      <w:t> </w:t>
    </w:r>
    <w:r w:rsidRPr="006710E1">
      <w:rPr>
        <w:color w:val="363435"/>
        <w:sz w:val="16"/>
        <w:szCs w:val="16"/>
      </w:rPr>
      <w:t>|</w:t>
    </w:r>
    <w:r>
      <w:rPr>
        <w:color w:val="363435"/>
        <w:sz w:val="16"/>
        <w:szCs w:val="16"/>
      </w:rPr>
      <w:t> </w:t>
    </w:r>
    <w:r w:rsidRPr="006710E1">
      <w:fldChar w:fldCharType="begin"/>
    </w:r>
    <w:r w:rsidRPr="006710E1">
      <w:rPr>
        <w:color w:val="363435"/>
        <w:sz w:val="16"/>
        <w:szCs w:val="16"/>
      </w:rPr>
      <w:instrText xml:space="preserve"> PAGE </w:instrText>
    </w:r>
    <w:r w:rsidRPr="006710E1">
      <w:fldChar w:fldCharType="separate"/>
    </w:r>
    <w:r w:rsidR="00EE26B0">
      <w:rPr>
        <w:noProof/>
        <w:color w:val="363435"/>
        <w:sz w:val="16"/>
        <w:szCs w:val="16"/>
      </w:rPr>
      <w:t>4</w:t>
    </w:r>
    <w:r w:rsidRPr="006710E1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30BF" w14:textId="77777777" w:rsidR="0057624D" w:rsidRDefault="0057624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4794EE1" w14:textId="77777777" w:rsidR="00B1506D" w:rsidRDefault="00B1506D">
      <w:r>
        <w:separator/>
      </w:r>
    </w:p>
  </w:footnote>
  <w:footnote w:type="continuationSeparator" w:id="0">
    <w:p w14:paraId="348DF6CC" w14:textId="77777777" w:rsidR="00B1506D" w:rsidRDefault="00B1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BC449A"/>
    <w:multiLevelType w:val="multilevel"/>
    <w:tmpl w:val="EF7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624D"/>
    <w:rsid w:val="00086DA0"/>
    <w:rsid w:val="00154E5C"/>
    <w:rsid w:val="00155C37"/>
    <w:rsid w:val="00175250"/>
    <w:rsid w:val="00225C74"/>
    <w:rsid w:val="003A7097"/>
    <w:rsid w:val="003D2BCF"/>
    <w:rsid w:val="0057624D"/>
    <w:rsid w:val="005C6D69"/>
    <w:rsid w:val="0066335E"/>
    <w:rsid w:val="006710E1"/>
    <w:rsid w:val="006923A9"/>
    <w:rsid w:val="008F1C82"/>
    <w:rsid w:val="00A23C00"/>
    <w:rsid w:val="00AB3D0C"/>
    <w:rsid w:val="00B1506D"/>
    <w:rsid w:val="00B22B99"/>
    <w:rsid w:val="00B73D88"/>
    <w:rsid w:val="00BA67A7"/>
    <w:rsid w:val="00BC2489"/>
    <w:rsid w:val="00C95A89"/>
    <w:rsid w:val="00CB0682"/>
    <w:rsid w:val="00CE5D0E"/>
    <w:rsid w:val="00DA7C8F"/>
    <w:rsid w:val="00E15374"/>
    <w:rsid w:val="00E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772B9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2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99"/>
  </w:style>
  <w:style w:type="paragraph" w:styleId="Footer">
    <w:name w:val="footer"/>
    <w:basedOn w:val="Normal"/>
    <w:link w:val="FooterChar"/>
    <w:uiPriority w:val="99"/>
    <w:unhideWhenUsed/>
    <w:rsid w:val="00B22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99"/>
  </w:style>
  <w:style w:type="paragraph" w:styleId="BalloonText">
    <w:name w:val="Balloon Text"/>
    <w:basedOn w:val="Normal"/>
    <w:link w:val="BalloonTextChar"/>
    <w:uiPriority w:val="99"/>
    <w:semiHidden/>
    <w:unhideWhenUsed/>
    <w:rsid w:val="00671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2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99"/>
  </w:style>
  <w:style w:type="paragraph" w:styleId="Footer">
    <w:name w:val="footer"/>
    <w:basedOn w:val="Normal"/>
    <w:link w:val="FooterChar"/>
    <w:uiPriority w:val="99"/>
    <w:unhideWhenUsed/>
    <w:rsid w:val="00B22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99"/>
  </w:style>
  <w:style w:type="paragraph" w:styleId="BalloonText">
    <w:name w:val="Balloon Text"/>
    <w:basedOn w:val="Normal"/>
    <w:link w:val="BalloonTextChar"/>
    <w:uiPriority w:val="99"/>
    <w:semiHidden/>
    <w:unhideWhenUsed/>
    <w:rsid w:val="00671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1BB713DBE7A45B39A87A4AF58A2E5" ma:contentTypeVersion="11" ma:contentTypeDescription="Create a new document." ma:contentTypeScope="" ma:versionID="495c0deb7786921a9beb77a1b7bb6180">
  <xsd:schema xmlns:xsd="http://www.w3.org/2001/XMLSchema" xmlns:xs="http://www.w3.org/2001/XMLSchema" xmlns:p="http://schemas.microsoft.com/office/2006/metadata/properties" xmlns:ns2="441488c3-3dc3-4d9f-945d-f7134957c0f2" targetNamespace="http://schemas.microsoft.com/office/2006/metadata/properties" ma:root="true" ma:fieldsID="12cb83ed2874d43e884bfd73227868a9" ns2:_="">
    <xsd:import namespace="441488c3-3dc3-4d9f-945d-f713495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488c3-3dc3-4d9f-945d-f713495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18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41488c3-3dc3-4d9f-945d-f7134957c0f2" xsi:nil="true"/>
  </documentManagement>
</p:properties>
</file>

<file path=customXml/itemProps1.xml><?xml version="1.0" encoding="utf-8"?>
<ds:datastoreItem xmlns:ds="http://schemas.openxmlformats.org/officeDocument/2006/customXml" ds:itemID="{1BC56F09-0621-412E-AF4D-13C298A7F4EF}"/>
</file>

<file path=customXml/itemProps2.xml><?xml version="1.0" encoding="utf-8"?>
<ds:datastoreItem xmlns:ds="http://schemas.openxmlformats.org/officeDocument/2006/customXml" ds:itemID="{B23B6754-B503-4738-8EF9-FC71EA90FD38}"/>
</file>

<file path=customXml/itemProps3.xml><?xml version="1.0" encoding="utf-8"?>
<ds:datastoreItem xmlns:ds="http://schemas.openxmlformats.org/officeDocument/2006/customXml" ds:itemID="{F41A737B-014F-4E98-9CD0-EDFA015FB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1940</Words>
  <Characters>11061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DTP008</dc:creator>
  <cp:lastModifiedBy>Malik</cp:lastModifiedBy>
  <cp:revision>22</cp:revision>
  <cp:lastPrinted>2020-08-28T05:03:00Z</cp:lastPrinted>
  <dcterms:created xsi:type="dcterms:W3CDTF">2020-08-28T04:40:00Z</dcterms:created>
  <dcterms:modified xsi:type="dcterms:W3CDTF">2020-09-23T12:52:00Z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0x010100CDE1BB713DBE7A45B39A87A4AF58A2E5</vt:lpwstr>
  </property>
</Properties>
</file>